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06.07.2026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25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ind w:left="0" w:right="0" w:firstLine="0"/>
        <w:contextualSpacing/>
        <w:jc w:val="center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спорта Томской </w:t>
      </w:r>
      <w:r>
        <w:rPr>
          <w:rFonts w:ascii="PT Astra Serif" w:hAnsi="PT Astra Serif" w:cs="PT Astra Serif"/>
          <w:sz w:val="26"/>
          <w:szCs w:val="26"/>
        </w:rPr>
        <w:t xml:space="preserve">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от 23.12.2025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50</w:t>
      </w:r>
    </w:p>
    <w:p>
      <w:pPr>
        <w:pStyle w:val="ConsPlusNormal"/>
        <w:ind w:firstLine="709"/>
        <w:jc w:val="both"/>
        <w:rPr>
          <w:sz w:val="26"/>
          <w:szCs w:val="26"/>
        </w:rPr>
      </w:pP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</w:t>
      </w:r>
      <w:r>
        <w:rPr>
          <w:rFonts w:ascii="PT Astra Serif" w:hAnsi="PT Astra Serif" w:cs="Times New Roman"/>
          <w:sz w:val="26"/>
          <w:szCs w:val="26"/>
        </w:rPr>
        <w:t xml:space="preserve">о</w:t>
      </w:r>
      <w:r>
        <w:rPr>
          <w:rFonts w:ascii="PT Astra Serif" w:hAnsi="PT Astra Serif" w:cs="Times New Roman"/>
          <w:sz w:val="26"/>
          <w:szCs w:val="26"/>
        </w:rPr>
        <w:t xml:space="preserve"> правов</w:t>
      </w:r>
      <w:r>
        <w:rPr>
          <w:rFonts w:ascii="PT Astra Serif" w:hAnsi="PT Astra Serif" w:cs="Times New Roman"/>
          <w:sz w:val="26"/>
          <w:szCs w:val="26"/>
        </w:rPr>
        <w:t xml:space="preserve">ого акта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</w:p>
    <w:p>
      <w:pPr>
        <w:pStyle w:val="ConsPlusNormal"/>
        <w:tabs>
          <w:tab w:val="left" w:pos="992"/>
        </w:tabs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спорта Томской области от </w:t>
      </w:r>
      <w:r>
        <w:rPr>
          <w:rFonts w:ascii="PT Astra Serif" w:hAnsi="PT Astra Serif" w:cs="Times New Roman"/>
          <w:sz w:val="26"/>
          <w:szCs w:val="26"/>
        </w:rPr>
        <w:t xml:space="preserve">23.12.2025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50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«</w:t>
      </w:r>
      <w:r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</w:t>
        <w:br/>
      </w:r>
      <w:r>
        <w:rPr>
          <w:rFonts w:ascii="PT Astra Serif" w:hAnsi="PT Astra Serif" w:cs="Times New Roman"/>
          <w:sz w:val="26"/>
          <w:szCs w:val="26"/>
        </w:rPr>
        <w:t xml:space="preserve">в объекты капитального строительства государственной собственности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и приобретении объектов </w:t>
      </w:r>
      <w:r>
        <w:rPr>
          <w:rFonts w:ascii="PT Astra Serif" w:hAnsi="PT Astra Serif" w:cs="Times New Roman"/>
          <w:sz w:val="26"/>
          <w:szCs w:val="26"/>
        </w:rPr>
        <w:t xml:space="preserve">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</w:t>
      </w:r>
      <w:r>
        <w:rPr>
          <w:rFonts w:ascii="PT Astra Serif" w:hAnsi="PT Astra Serif" w:cs="Times New Roman"/>
          <w:sz w:val="26"/>
          <w:szCs w:val="26"/>
        </w:rPr>
        <w:t xml:space="preserve">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</w:t>
      </w:r>
      <w:r>
        <w:rPr>
          <w:rFonts w:ascii="PT Astra Serif" w:hAnsi="PT Astra Serif" w:cs="Times New Roman"/>
          <w:sz w:val="26"/>
          <w:szCs w:val="26"/>
        </w:rPr>
        <w:t xml:space="preserve">тальных вложений в объекты муниципальной с</w:t>
      </w:r>
      <w:r>
        <w:rPr>
          <w:rFonts w:ascii="PT Astra Serif" w:hAnsi="PT Astra Serif" w:cs="Times New Roman"/>
          <w:sz w:val="26"/>
          <w:szCs w:val="26"/>
        </w:rPr>
        <w:t xml:space="preserve">обственност</w:t>
      </w:r>
      <w:r>
        <w:rPr>
          <w:rFonts w:ascii="PT Astra Serif" w:hAnsi="PT Astra Serif" w:cs="Times New Roman"/>
          <w:sz w:val="26"/>
          <w:szCs w:val="26"/>
        </w:rPr>
        <w:t xml:space="preserve">и</w:t>
      </w:r>
      <w:r>
        <w:rPr>
          <w:rFonts w:ascii="PT Astra Serif" w:hAnsi="PT Astra Serif" w:cs="Times New Roman"/>
          <w:sz w:val="26"/>
          <w:szCs w:val="26"/>
        </w:rPr>
        <w:t xml:space="preserve">» (</w:t>
      </w:r>
      <w:r>
        <w:rPr>
          <w:rFonts w:ascii="PT Astra Serif" w:hAnsi="PT Astra Serif" w:cs="Times New Roman"/>
          <w:sz w:val="26"/>
          <w:szCs w:val="26"/>
        </w:rPr>
        <w:t xml:space="preserve">О</w:t>
      </w:r>
      <w:r>
        <w:rPr>
          <w:rFonts w:ascii="PT Astra Serif" w:hAnsi="PT Astra Serif" w:cs="Times New Roman"/>
          <w:sz w:val="26"/>
          <w:szCs w:val="26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6"/>
          <w:szCs w:val="26"/>
        </w:rPr>
        <w:t xml:space="preserve"> (</w:t>
      </w:r>
      <w:r>
        <w:rPr>
          <w:rFonts w:ascii="PT Astra Serif" w:hAnsi="PT Astra Serif" w:cs="Times New Roman"/>
          <w:sz w:val="26"/>
          <w:szCs w:val="26"/>
        </w:rPr>
        <w:t xml:space="preserve">www.pravo.gov.ru)</w:t>
      </w:r>
      <w:r>
        <w:rPr>
          <w:rFonts w:ascii="PT Astra Serif" w:hAnsi="PT Astra Serif" w:cs="Times New Roman"/>
          <w:sz w:val="26"/>
          <w:szCs w:val="26"/>
        </w:rPr>
        <w:t xml:space="preserve">, 24.12.2025,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№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7001202512240024</w:t>
      </w:r>
      <w:r>
        <w:rPr>
          <w:rFonts w:ascii="PT Astra Serif" w:hAnsi="PT Astra Serif" w:cs="Times New Roman"/>
          <w:sz w:val="26"/>
          <w:szCs w:val="26"/>
        </w:rPr>
        <w:t xml:space="preserve">)</w:t>
      </w:r>
      <w:r>
        <w:rPr>
          <w:rFonts w:ascii="PT Astra Serif" w:hAnsi="PT Astra Serif" w:cs="Times New Roman"/>
          <w:sz w:val="26"/>
          <w:szCs w:val="26"/>
        </w:rPr>
        <w:t xml:space="preserve"> следующее изменение: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>
      <w:pPr>
        <w:pStyle w:val="ConsPlusNormal"/>
        <w:tabs>
          <w:tab w:val="left" w:pos="992"/>
        </w:tabs>
        <w:ind w:firstLine="709"/>
        <w:jc w:val="both"/>
        <w:rPr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 </w:t>
      </w:r>
      <w:r>
        <w:rPr>
          <w:rFonts w:ascii="PT Astra Serif" w:hAnsi="PT Astra Serif" w:cs="Times New Roman"/>
          <w:sz w:val="26"/>
          <w:szCs w:val="26"/>
        </w:rPr>
        <w:t xml:space="preserve">о подготовке и реализации бюджетных инвестиций в объекты капитального строительства </w:t>
      </w:r>
      <w:r>
        <w:rPr>
          <w:rFonts w:ascii="PT Astra Serif" w:hAnsi="PT Astra Serif" w:cs="Times New Roman"/>
          <w:sz w:val="26"/>
          <w:szCs w:val="26"/>
        </w:rPr>
        <w:t xml:space="preserve">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о предоставлении субсидий областным бюджетным или автономным учреждениям на осуществл</w:t>
      </w:r>
      <w:r>
        <w:rPr>
          <w:rFonts w:ascii="PT Astra Serif" w:hAnsi="PT Astra Serif" w:cs="Times New Roman"/>
          <w:sz w:val="26"/>
          <w:szCs w:val="26"/>
        </w:rPr>
        <w:t xml:space="preserve">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</w:t>
      </w:r>
      <w:r>
        <w:rPr>
          <w:rFonts w:ascii="PT Astra Serif" w:hAnsi="PT Astra Serif" w:cs="Times New Roman"/>
          <w:sz w:val="26"/>
          <w:szCs w:val="26"/>
        </w:rPr>
        <w:t xml:space="preserve"> для предоставления субсидии местным бюджетам на софинансирование капитальных вложений в объекты муниципальной собственности </w:t>
      </w:r>
      <w:r>
        <w:rPr>
          <w:rFonts w:ascii="PT Astra Serif" w:hAnsi="PT Astra Serif" w:cs="Times New Roman"/>
          <w:sz w:val="26"/>
          <w:szCs w:val="26"/>
        </w:rPr>
        <w:t xml:space="preserve">(Приложение</w:t>
      </w:r>
      <w:r>
        <w:rPr>
          <w:rFonts w:ascii="PT Astra Serif" w:hAnsi="PT Astra Serif" w:cs="Times New Roman"/>
          <w:sz w:val="26"/>
          <w:szCs w:val="26"/>
        </w:rPr>
        <w:t xml:space="preserve">), утвержденное указанным приказом, изложить в новой редакции согласно приложению к настоящему приказу.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725"/>
      </w:tblGrid>
      <w:tr>
        <w:trPr>
          <w:trHeight w:val="200"/>
        </w:trPr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ачальник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725" w:type="dxa"/>
            <w:shd w:val="clear" w:color="ffffff" w:fill="ffffff"/>
            <w:noWrap w:val="false"/>
            <w:textDirection w:val="lrTb"/>
            <w:vAlign w:val="center"/>
          </w:tcPr>
          <w:p>
            <w:pPr>
              <w:ind w:right="-142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              М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.В.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Максимов</w:t>
            </w:r>
          </w:p>
        </w:tc>
      </w:tr>
    </w:tbl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eastAsia="PT Astra Serif" w:cs="PT Astra Serif"/>
          <w:color w:val="ffffff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ffffff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ffffff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ffffff"/>
          <w:sz w:val="28"/>
          <w:szCs w:val="28"/>
        </w:rPr>
        <w:fldChar w:fldCharType="end"/>
      </w:r>
      <w:r>
        <w:rPr>
          <w:rFonts w:ascii="PT Astra Serif" w:hAnsi="PT Astra Serif" w:cs="Times New Roman"/>
          <w:sz w:val="28"/>
          <w:szCs w:val="28"/>
        </w:rPr>
        <w:tab/>
      </w:r>
    </w:p>
    <w:p>
      <w:pPr>
        <w:pStyle w:val="Footer"/>
      </w:pPr>
      <w:r>
        <w:t xml:space="preserve">Исп. Пушкина М</w:t>
      </w:r>
      <w:r>
        <w:t xml:space="preserve">.</w:t>
      </w:r>
      <w:r>
        <w:t xml:space="preserve">С.</w:t>
      </w:r>
    </w:p>
    <w:p>
      <w:pPr>
        <w:pStyle w:val="Footer"/>
        <w:ind w:left="5812" w:firstLine="142"/>
        <w:rPr>
          <w:rFonts w:ascii="PT Astra Serif" w:hAnsi="PT Astra Serif"/>
          <w:sz w:val="28"/>
          <w:szCs w:val="28"/>
        </w:rPr>
        <w:sectPr>
          <w:headerReference w:type="default" r:id="rId7"/>
          <w:headerReference w:type="first" r:id="rId8"/>
          <w:type w:val="nextPage"/>
          <w:pgSz w:w="11906" w:h="16838" w:orient="portrait"/>
          <w:pgMar w:top="1134" w:right="707" w:bottom="851" w:left="1134" w:header="708" w:footer="708" w:gutter="0"/>
          <w:cols w:num="1" w:sep="0" w:space="708" w:equalWidth="1"/>
          <w:docGrid w:linePitch="360"/>
          <w:titlePg/>
        </w:sectPr>
      </w:pPr>
    </w:p>
    <w:p>
      <w:pPr>
        <w:pStyle w:val="Footer"/>
        <w:ind w:left="1049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 </w:t>
      </w:r>
    </w:p>
    <w:p>
      <w:pPr>
        <w:pStyle w:val="Footer"/>
        <w:ind w:left="1049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приказ</w:t>
      </w:r>
      <w:r>
        <w:rPr>
          <w:rFonts w:ascii="PT Astra Serif" w:hAnsi="PT Astra Serif"/>
          <w:sz w:val="28"/>
          <w:szCs w:val="28"/>
        </w:rPr>
        <w:t xml:space="preserve">у</w:t>
      </w:r>
      <w:r>
        <w:rPr>
          <w:rFonts w:ascii="PT Astra Serif" w:hAnsi="PT Astra Serif"/>
          <w:sz w:val="28"/>
          <w:szCs w:val="28"/>
        </w:rPr>
        <w:t xml:space="preserve"> Департамента спорта Томской области </w:t>
      </w:r>
    </w:p>
    <w:p>
      <w:pPr>
        <w:pStyle w:val="Footer"/>
        <w:ind w:left="1049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06.07.2026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25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rPr>
          <w:rFonts w:ascii="PT Astra Serif" w:hAnsi="PT Astra Serif"/>
          <w:sz w:val="24"/>
        </w:rPr>
      </w:pPr>
    </w:p>
    <w:p>
      <w:pPr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Решение </w:t>
      </w:r>
    </w:p>
    <w:p>
      <w:pPr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</w:t>
      </w:r>
      <w:r>
        <w:rPr>
          <w:rFonts w:ascii="PT Astra Serif" w:hAnsi="PT Astra Serif"/>
          <w:sz w:val="24"/>
        </w:rPr>
        <w:t xml:space="preserve"> </w:t>
      </w:r>
      <w:r>
        <w:rPr>
          <w:rFonts w:ascii="PT Astra Serif" w:hAnsi="PT Astra Serif"/>
          <w:sz w:val="24"/>
        </w:rPr>
        <w:t xml:space="preserve">о предоставлении субсидий областным бюджетным или автономным учреждениям на осуществление капитальных вложений в объекты капитального </w:t>
      </w:r>
      <w:r>
        <w:rPr>
          <w:rFonts w:ascii="PT Astra Serif" w:hAnsi="PT Astra Serif"/>
          <w:sz w:val="24"/>
        </w:rPr>
        <w:t xml:space="preserve">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r>
        <w:rPr>
          <w:rFonts w:ascii="PT Astra Serif" w:hAnsi="PT Astra Serif"/>
          <w:sz w:val="24"/>
        </w:rPr>
        <w:t xml:space="preserve">софинансирование</w:t>
      </w:r>
      <w:r>
        <w:rPr>
          <w:rFonts w:ascii="PT Astra Serif" w:hAnsi="PT Astra Serif"/>
          <w:sz w:val="24"/>
        </w:rPr>
        <w:t xml:space="preserve"> капитальных вложений в объекты муниципальной собственности</w:t>
      </w:r>
    </w:p>
    <w:p>
      <w:pPr>
        <w:jc w:val="center"/>
        <w:rPr>
          <w:rFonts w:ascii="PT Astra Serif" w:hAnsi="PT Astra Serif"/>
          <w:sz w:val="24"/>
        </w:rPr>
      </w:pPr>
    </w:p>
    <w:tbl>
      <w:tblPr>
        <w:tblpPr w:horzAnchor="text" w:tblpX="-364" w:vertAnchor="text" w:tblpY="1" w:leftFromText="180" w:topFromText="0" w:rightFromText="180" w:bottomFromText="0"/>
        <w:tblW w:w="1533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2"/>
        <w:gridCol w:w="2090"/>
        <w:gridCol w:w="988"/>
        <w:gridCol w:w="1413"/>
        <w:gridCol w:w="847"/>
        <w:gridCol w:w="988"/>
        <w:gridCol w:w="848"/>
        <w:gridCol w:w="848"/>
        <w:gridCol w:w="1553"/>
        <w:gridCol w:w="848"/>
        <w:gridCol w:w="922"/>
        <w:gridCol w:w="10"/>
        <w:gridCol w:w="933"/>
        <w:gridCol w:w="769"/>
        <w:gridCol w:w="908"/>
        <w:gridCol w:w="913"/>
      </w:tblGrid>
      <w:tr>
        <w:trPr>
          <w:trHeight w:val="851"/>
        </w:trPr>
        <w:tc>
          <w:tcPr>
            <w:tcW w:w="4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№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п/п</w:t>
            </w:r>
          </w:p>
        </w:tc>
        <w:tc>
          <w:tcPr>
            <w:tcW w:w="20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соответствии с ПСД </w:t>
            </w:r>
            <w:r>
              <w:rPr>
                <w:rFonts w:ascii="PT Astra Serif" w:hAnsi="PT Astra Serif"/>
                <w:sz w:val="16"/>
                <w:szCs w:val="16"/>
              </w:rPr>
              <w:br/>
              <w:t xml:space="preserve">(при наличии) или объекта недвижимого имущества (далее – Объект)</w:t>
            </w:r>
          </w:p>
        </w:tc>
        <w:tc>
          <w:tcPr>
            <w:tcW w:w="9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ГРБС</w:t>
            </w:r>
          </w:p>
        </w:tc>
        <w:tc>
          <w:tcPr>
            <w:tcW w:w="14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8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собственности (о - областная, м - муниципальная)</w:t>
            </w:r>
          </w:p>
        </w:tc>
        <w:tc>
          <w:tcPr>
            <w:tcW w:w="9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Наименование государственного (муниципального) заказчика</w:t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Мощность (прирост мощности) Объекта</w:t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Срок ввода в эксплуатацию (приобретения) Объекта</w:t>
            </w:r>
          </w:p>
        </w:tc>
        <w:tc>
          <w:tcPr>
            <w:tcW w:w="15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4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>
        <w:trPr>
          <w:cantSplit/>
          <w:trHeight w:val="1914"/>
        </w:trPr>
        <w:tc>
          <w:tcPr>
            <w:tcW w:w="4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источник финансирования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общий объем инвестиций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6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7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8</w:t>
            </w:r>
          </w:p>
        </w:tc>
      </w:tr>
      <w:tr>
        <w:trPr>
          <w:trHeight w:val="64"/>
        </w:trPr>
        <w:tc>
          <w:tcPr>
            <w:tcW w:w="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</w:t>
            </w:r>
          </w:p>
        </w:tc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</w:t>
            </w: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5</w:t>
            </w:r>
          </w:p>
        </w:tc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6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7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</w:t>
            </w:r>
          </w:p>
        </w:tc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9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10</w:t>
            </w: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11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12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13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14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15</w:t>
            </w:r>
          </w:p>
        </w:tc>
      </w:tr>
      <w:tr>
        <w:tc>
          <w:tcPr>
            <w:tcW w:w="1533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Группа 1. Переходящие объекты к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>
        <w:tc>
          <w:tcPr>
            <w:tcW w:w="4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</w:t>
            </w:r>
          </w:p>
        </w:tc>
        <w:tc>
          <w:tcPr>
            <w:tcW w:w="20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Строительство физкультурно-оздоровительного комплекса с универсальным игровым залом для МАУДО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«ДЮСШ им.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О.Рахматулиной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» по ул.Ленина, 52 в г.Колпашево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Колпашевского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района Томской области</w:t>
            </w:r>
          </w:p>
        </w:tc>
        <w:tc>
          <w:tcPr>
            <w:tcW w:w="9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Департамент строительства Томской области</w:t>
            </w:r>
          </w:p>
        </w:tc>
        <w:tc>
          <w:tcPr>
            <w:tcW w:w="141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строительство</w:t>
            </w:r>
          </w:p>
        </w:tc>
        <w:tc>
          <w:tcPr>
            <w:tcW w:w="8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</w:t>
            </w:r>
          </w:p>
        </w:tc>
        <w:tc>
          <w:tcPr>
            <w:tcW w:w="9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Администрация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Колпашевского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района</w:t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Общая площадь здания – </w:t>
            </w:r>
            <w:r>
              <w:rPr>
                <w:rFonts w:ascii="PT Astra Serif" w:hAnsi="PT Astra Serif"/>
                <w:sz w:val="16"/>
                <w:szCs w:val="16"/>
              </w:rPr>
              <w:br/>
              <w:t xml:space="preserve">2956,96 кв.м.</w:t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9</w:t>
            </w:r>
          </w:p>
        </w:tc>
        <w:tc>
          <w:tcPr>
            <w:tcW w:w="15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372 745,08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br/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Субсидии муниципальным образованиям</w:t>
            </w: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43 362,0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43 362,0</w:t>
            </w:r>
          </w:p>
        </w:tc>
      </w:tr>
      <w:tr>
        <w:tc>
          <w:tcPr>
            <w:tcW w:w="4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ФБ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212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865,4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212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865,4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  <w:highlight w:val="none"/>
              </w:rPr>
            </w:pPr>
          </w:p>
        </w:tc>
      </w:tr>
      <w:tr>
        <w:tc>
          <w:tcPr>
            <w:tcW w:w="4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МБ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8 774,59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8 774,59</w:t>
            </w:r>
          </w:p>
        </w:tc>
      </w:tr>
      <w:tr>
        <w:tc>
          <w:tcPr>
            <w:tcW w:w="4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ВБ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4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Всего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265 001,99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265 001,99</w:t>
            </w:r>
          </w:p>
        </w:tc>
      </w:tr>
      <w:tr>
        <w:tc>
          <w:tcPr>
            <w:tcW w:w="4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  <w14:ligatures w14:val="non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</w:t>
            </w:r>
          </w:p>
        </w:tc>
        <w:tc>
          <w:tcPr>
            <w:tcW w:w="20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  <w14:ligatures w14:val="non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Строительство "Центр самбо" в г. Томске </w:t>
            </w:r>
          </w:p>
        </w:tc>
        <w:tc>
          <w:tcPr>
            <w:tcW w:w="9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епартамент строительства Томской области</w:t>
            </w:r>
          </w:p>
        </w:tc>
        <w:tc>
          <w:tcPr>
            <w:tcW w:w="14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проектирование</w:t>
            </w:r>
          </w:p>
        </w:tc>
        <w:tc>
          <w:tcPr>
            <w:tcW w:w="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</w:t>
            </w:r>
          </w:p>
        </w:tc>
        <w:tc>
          <w:tcPr>
            <w:tcW w:w="9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  <w14:ligatures w14:val="non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дминистраци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я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Города Томска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Общая площадь здания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3400</w:t>
            </w:r>
          </w:p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кв.м.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202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9</w:t>
            </w:r>
          </w:p>
        </w:tc>
        <w:tc>
          <w:tcPr>
            <w:tcW w:w="15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7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656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4</w:t>
            </w:r>
          </w:p>
        </w:tc>
        <w:tc>
          <w:tcPr>
            <w:tcW w:w="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Субсидии муниципальным</w:t>
            </w:r>
          </w:p>
        </w:tc>
        <w:tc>
          <w:tcPr>
            <w:tcW w:w="93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</w:t>
            </w:r>
          </w:p>
        </w:tc>
        <w:tc>
          <w:tcPr>
            <w:tcW w:w="9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13 242,3</w:t>
            </w:r>
          </w:p>
        </w:tc>
        <w:tc>
          <w:tcPr>
            <w:tcW w:w="7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13 242,3</w:t>
            </w:r>
          </w:p>
        </w:tc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4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5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ФБ</w:t>
            </w:r>
          </w:p>
        </w:tc>
        <w:tc>
          <w:tcPr>
            <w:tcW w:w="9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7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4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5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МБ</w:t>
            </w:r>
          </w:p>
        </w:tc>
        <w:tc>
          <w:tcPr>
            <w:tcW w:w="9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4 414.1</w:t>
            </w:r>
          </w:p>
        </w:tc>
        <w:tc>
          <w:tcPr>
            <w:tcW w:w="7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4 414.1</w:t>
            </w:r>
          </w:p>
        </w:tc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4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5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ВБ</w:t>
            </w:r>
          </w:p>
        </w:tc>
        <w:tc>
          <w:tcPr>
            <w:tcW w:w="9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7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4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20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4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15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/>
        </w:tc>
        <w:tc>
          <w:tcPr>
            <w:tcW w:w="9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Всего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17656.4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17656.4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rPr>
          <w:trHeight w:val="174"/>
        </w:trPr>
        <w:tc>
          <w:tcPr>
            <w:tcW w:w="10875" w:type="dxa"/>
            <w:gridSpan w:val="10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Итого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</w:t>
            </w:r>
          </w:p>
        </w:tc>
        <w:tc>
          <w:tcPr>
            <w:tcW w:w="9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43 362,0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rPr>
          <w:trHeight w:val="154"/>
        </w:trPr>
        <w:tc>
          <w:tcPr>
            <w:tcW w:w="10875" w:type="dxa"/>
            <w:gridSpan w:val="10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ФБ</w:t>
            </w:r>
          </w:p>
        </w:tc>
        <w:tc>
          <w:tcPr>
            <w:tcW w:w="9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212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 xml:space="preserve">865,4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10875" w:type="dxa"/>
            <w:gridSpan w:val="10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МБ</w:t>
            </w:r>
          </w:p>
        </w:tc>
        <w:tc>
          <w:tcPr>
            <w:tcW w:w="9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8 774,59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10875" w:type="dxa"/>
            <w:gridSpan w:val="10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ВБ</w:t>
            </w:r>
          </w:p>
        </w:tc>
        <w:tc>
          <w:tcPr>
            <w:tcW w:w="9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</w:tr>
      <w:tr>
        <w:tc>
          <w:tcPr>
            <w:tcW w:w="10875" w:type="dxa"/>
            <w:gridSpan w:val="10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Всего</w:t>
            </w:r>
          </w:p>
        </w:tc>
        <w:tc>
          <w:tcPr>
            <w:tcW w:w="9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82</w:t>
            </w:r>
            <w:r>
              <w:rPr>
                <w:rFonts w:ascii="PT Astra Serif" w:hAnsi="PT Astra Serif"/>
                <w:sz w:val="16"/>
                <w:szCs w:val="16"/>
              </w:rPr>
              <w:t xml:space="preserve"> 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658</w:t>
            </w:r>
            <w:r>
              <w:rPr>
                <w:rFonts w:ascii="PT Astra Serif" w:hAnsi="PT Astra Serif"/>
                <w:sz w:val="16"/>
                <w:szCs w:val="16"/>
              </w:rPr>
              <w:t xml:space="preserve">,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39</w:t>
            </w:r>
            <w:r>
              <w:rPr>
                <w:rFonts w:ascii="PT Astra Serif" w:hAnsi="PT Astra Serif"/>
                <w:sz w:val="16"/>
                <w:szCs w:val="16"/>
              </w:rPr>
              <w:t xml:space="preserve">9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0,0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17656.4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265 001,99</w:t>
            </w:r>
          </w:p>
        </w:tc>
      </w:tr>
    </w:tbl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br w:type="textWrapping" w:clear="all"/>
      </w:r>
      <w:r>
        <w:rPr>
          <w:rFonts w:ascii="PT Astra Serif" w:hAnsi="PT Astra Serif"/>
          <w:sz w:val="24"/>
        </w:rPr>
        <w:t xml:space="preserve">ПСД – проектно-сметная документация</w:t>
      </w:r>
    </w:p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ГРБС – главные распорядители средств областного бюджета</w:t>
      </w:r>
    </w:p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ОБ – средства областного бюджета</w:t>
      </w:r>
    </w:p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ФБ – планируемые к привлечению (привлеченные) средства федерального бюджета (по согласованию)</w:t>
      </w:r>
    </w:p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МБ – средства местного бюджета исходя из установленного уровня </w:t>
      </w:r>
      <w:r>
        <w:rPr>
          <w:rFonts w:ascii="PT Astra Serif" w:hAnsi="PT Astra Serif"/>
          <w:sz w:val="24"/>
        </w:rPr>
        <w:t xml:space="preserve">софинансирования</w:t>
      </w:r>
      <w:r>
        <w:rPr>
          <w:rFonts w:ascii="PT Astra Serif" w:hAnsi="PT Astra Serif"/>
          <w:sz w:val="24"/>
        </w:rPr>
        <w:t xml:space="preserve"> (по согласованию)</w:t>
      </w:r>
    </w:p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ВБ – планируемые к привлечению (привлеченные) средства из внебюджетных источников (по согласованию)</w:t>
      </w:r>
    </w:p>
    <w:p>
      <w:pPr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МАУДО – муниципальное автономное учреждение дополнительного образования</w:t>
      </w:r>
    </w:p>
    <w:p>
      <w:pPr>
        <w:pStyle w:val="Foo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</w:rPr>
        <w:t xml:space="preserve">ДЮСШ – детско-юношеская спортивная школа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pStyle w:val="Footer"/>
        <w:ind w:left="5103"/>
        <w:rPr>
          <w:rFonts w:ascii="PT Astra Serif" w:hAnsi="PT Astra Serif"/>
          <w:sz w:val="26"/>
          <w:szCs w:val="26"/>
        </w:rPr>
      </w:pPr>
    </w:p>
    <w:p>
      <w:pPr>
        <w:pStyle w:val="Footer"/>
        <w:ind w:left="5103"/>
        <w:rPr>
          <w:rFonts w:ascii="PT Astra Serif" w:hAnsi="PT Astra Serif"/>
          <w:sz w:val="26"/>
          <w:szCs w:val="26"/>
        </w:rPr>
      </w:pPr>
    </w:p>
    <w:sectPr>
      <w:headerReference w:type="first" r:id="rId9"/>
      <w:type w:val="nextPage"/>
      <w:pgSz w:w="16838" w:h="11906" w:orient="landscape"/>
      <w:pgMar w:top="851" w:right="1134" w:bottom="1134" w:left="1134" w:header="708" w:footer="708" w:gutter="0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357893017"/>
      <w:docPartObj>
        <w:docPartGallery w:val="Page Numbers (Top of Page)"/>
        <w:docPartUnique w:val="true"/>
      </w:docPartObj>
    </w:sdtPr>
    <w:sdtContent>
      <w:p>
        <w:pPr>
          <w:pStyle w:val="Header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3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548104082"/>
      <w:docPartObj>
        <w:docPartGallery w:val="Page Numbers (Top of Page)"/>
        <w:docPartUnique w:val="true"/>
      </w:docPartObj>
      <w:rPr>
        <w:rFonts w:ascii="PT Astra Serif" w:hAnsi="PT Astra Serif"/>
        <w:sz w:val="24"/>
      </w:rPr>
    </w:sdtPr>
    <w:sdtContent>
      <w:p>
        <w:pPr>
          <w:pStyle w:val="Header"/>
          <w:jc w:val="center"/>
          <w:rPr>
            <w:rFonts w:ascii="PT Astra Serif" w:hAnsi="PT Astra Serif"/>
            <w:sz w:val="24"/>
          </w:rPr>
        </w:pPr>
        <w:r>
          <w:rPr>
            <w:rFonts w:ascii="PT Astra Serif" w:hAnsi="PT Astra Serif"/>
            <w:sz w:val="24"/>
          </w:rPr>
          <w:fldChar w:fldCharType="begin"/>
        </w:r>
        <w:r>
          <w:rPr>
            <w:rFonts w:ascii="PT Astra Serif" w:hAnsi="PT Astra Serif"/>
            <w:sz w:val="24"/>
          </w:rPr>
          <w:instrText xml:space="preserve">PAGE   \* MERGEFORMAT</w:instrText>
        </w:r>
        <w:r>
          <w:rPr>
            <w:rFonts w:ascii="PT Astra Serif" w:hAnsi="PT Astra Serif"/>
            <w:sz w:val="24"/>
          </w:rPr>
          <w:fldChar w:fldCharType="separate"/>
        </w:r>
        <w:r>
          <w:rPr>
            <w:rFonts w:ascii="PT Astra Serif" w:hAnsi="PT Astra Serif"/>
            <w:sz w:val="24"/>
          </w:rPr>
          <w:t xml:space="preserve">2</w:t>
        </w:r>
        <w:r>
          <w:rPr>
            <w:rFonts w:ascii="PT Astra Serif" w:hAnsi="PT Astra Serif"/>
            <w:sz w:val="24"/>
          </w:rPr>
          <w:fldChar w:fldCharType="end"/>
        </w:r>
      </w:p>
    </w:sdtContent>
  </w:sdt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  <w:spacing w:after="0" w:line="240" w:lineRule="auto"/>
    </w:pPr>
    <w:rPr>
      <w:rFonts w:ascii="Times New Roman" w:hAnsi="Times New Roman" w:eastAsia="Times New Roman" w:cs="Times New Roman"/>
      <w:sz w:val="20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styleId="QuoteChar" w:customStyle="1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CaptionChar" w:customStyle="1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1" w:customStyle="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themeTint="E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2" w:customStyle="1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themeTint="97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3" w:customStyle="1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themeTint="FE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4" w:customStyle="1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themeTint="9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5" w:customStyle="1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6" w:customStyle="1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1" w:customStyle="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2" w:customStyle="1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3" w:customStyle="1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4" w:customStyle="1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5" w:customStyle="1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6" w:customStyle="1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GridTable4-Accent2" w:customStyle="1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GridTable4-Accent3" w:customStyle="1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GridTable4-Accent4" w:customStyle="1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GridTable4-Accent5" w:customStyle="1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GridTable4-Accent6" w:customStyle="1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GridTable5Dark-Accent2" w:customStyle="1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GridTable5Dark-Accent3" w:customStyle="1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GridTable5Dark-Accent5" w:customStyle="1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GridTable5Dark-Accent6" w:customStyle="1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1" w:customStyle="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2" w:customStyle="1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3" w:customStyle="1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4" w:customStyle="1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5" w:customStyle="1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6" w:customStyle="1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1" w:customStyle="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2" w:customStyle="1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3" w:customStyle="1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4" w:customStyle="1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5" w:customStyle="1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6" w:customStyle="1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ListTable6Colorful-Accent2" w:customStyle="1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ConsPlusNormal" w:customStyle="1">
    <w:name w:val="ConsPlusNormal"/>
    <w:pPr>
      <w:widowControl w:val="off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pPr>
      <w:tabs>
        <w:tab w:val="center" w:pos="4677"/>
        <w:tab w:val="right" w:pos="9355"/>
      </w:tabs>
    </w:pPr>
  </w:style>
  <w:style w:type="character" w:styleId="a" w:customStyle="1">
    <w:name w:val="Верхний колонтитул Знак"/>
    <w:basedOn w:val="DefaultParagraphFont"/>
    <w:link w:val="Head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Footer">
    <w:name w:val="footer"/>
    <w:basedOn w:val="Normal"/>
    <w:link w:val="a0"/>
    <w:uiPriority w:val="99"/>
    <w:unhideWhenUsed/>
    <w:pPr>
      <w:tabs>
        <w:tab w:val="center" w:pos="4677"/>
        <w:tab w:val="right" w:pos="9355"/>
      </w:tabs>
    </w:pPr>
  </w:style>
  <w:style w:type="character" w:styleId="a0" w:customStyle="1">
    <w:name w:val="Нижний колонтитул Знак"/>
    <w:basedOn w:val="DefaultParagraphFont"/>
    <w:link w:val="Foot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Header0" w:customStyle="1">
    <w:name w:val="Header_0"/>
    <w:basedOn w:val="Normal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BalloonText">
    <w:name w:val="Balloon Text"/>
    <w:basedOn w:val="Normal"/>
    <w:link w:val="a1"/>
    <w:uiPriority w:val="99"/>
    <w:semiHidden/>
    <w:unhideWhenUsed/>
    <w:rPr>
      <w:rFonts w:ascii="Tahoma" w:hAnsi="Tahoma" w:cs="Tahoma"/>
      <w:sz w:val="16"/>
      <w:szCs w:val="16"/>
    </w:rPr>
  </w:style>
  <w:style w:type="character" w:styleId="a1" w:customStyle="1">
    <w:name w:val="Текст выноски Знак"/>
    <w:basedOn w:val="DefaultParagraphFont"/>
    <w:link w:val="BalloonText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FootnoteText">
    <w:name w:val="footnote text"/>
    <w:link w:val="a2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 w:line="240" w:lineRule="auto"/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a2" w:customStyle="1">
    <w:name w:val="Текст сноски Знак"/>
    <w:basedOn w:val="DefaultParagraphFont"/>
    <w:link w:val="FootnoteText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ConsPlusNonformat" w:customStyle="1">
    <w:name w:val="ConsPlusNonformat"/>
    <w:uiPriority w:val="99"/>
    <w:pPr>
      <w:widowControl w:val="off"/>
      <w:spacing w:after="0" w:line="240" w:lineRule="auto"/>
    </w:pPr>
    <w:rPr>
      <w:rFonts w:ascii="Courier New" w:hAnsi="Courier New" w:cs="Courier New" w:eastAsiaTheme="minorEastAsia"/>
      <w:sz w:val="20"/>
      <w:szCs w:val="20"/>
      <w:lang w:eastAsia="ru-RU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Relationship Id="rId10" Type="http://schemas.openxmlformats.org/officeDocument/2006/relationships/customXml" Target="../customXml/item1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4D945-1D2E-44ED-AF0E-C5AAD1F61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9</cp:revision>
  <dcterms:created xsi:type="dcterms:W3CDTF">2025-12-23T06:19:00Z</dcterms:created>
  <dcterms:modified xsi:type="dcterms:W3CDTF">2026-07-06T09:13:29Z</dcterms:modified>
</cp:coreProperties>
</file>