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12.05.2026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19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спорта Томской области</w:t>
      </w:r>
    </w:p>
    <w:p>
      <w:pPr>
        <w:pStyle w:val="ConsPlusNormal"/>
        <w:contextualSpacing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widowControl w:val="off"/>
        <w:ind w:firstLine="70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Style w:val="ConsPlusNormal"/>
        <w:numPr>
          <w:numId w:val="1"/>
          <w:ilvl w:val="0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20.03.2026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13 «Об утверждении Порядка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                          в соответствии с требованиями федеральных стан</w:t>
      </w:r>
      <w:r>
        <w:rPr>
          <w:rFonts w:ascii="PT Astra Serif" w:hAnsi="PT Astra Serif" w:cs="Times New Roman"/>
          <w:sz w:val="28"/>
          <w:szCs w:val="28"/>
        </w:rPr>
        <w:t xml:space="preserve">дартов спортивной подготовки» (</w:t>
      </w:r>
      <w:r>
        <w:rPr>
          <w:rFonts w:ascii="PT Astra Serif" w:hAnsi="PT Astra Serif" w:cs="Times New Roman"/>
          <w:sz w:val="28"/>
          <w:szCs w:val="28"/>
        </w:rPr>
        <w:t xml:space="preserve">Официальный инте</w:t>
      </w:r>
      <w:r>
        <w:rPr>
          <w:rFonts w:ascii="PT Astra Serif" w:hAnsi="PT Astra Serif" w:cs="Times New Roman"/>
          <w:sz w:val="28"/>
          <w:szCs w:val="28"/>
        </w:rPr>
        <w:t xml:space="preserve">рнет-портал правовой информации</w:t>
      </w:r>
      <w: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r>
        <w:rPr>
          <w:rFonts w:ascii="PT Astra Serif" w:hAnsi="PT Astra Serif" w:cs="Times New Roman"/>
          <w:sz w:val="28"/>
          <w:szCs w:val="28"/>
        </w:rPr>
        <w:t xml:space="preserve">www.pravo.gov.ru</w:t>
      </w:r>
      <w:r>
        <w:rPr>
          <w:rFonts w:ascii="PT Astra Serif" w:hAnsi="PT Astra Serif" w:cs="Times New Roman"/>
          <w:sz w:val="28"/>
          <w:szCs w:val="28"/>
        </w:rP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, 23.03.2026,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7001202603230005) следующие изменения:</w:t>
      </w:r>
    </w:p>
    <w:p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Порядке </w:t>
      </w:r>
      <w:r>
        <w:rPr>
          <w:rFonts w:ascii="PT Astra Serif" w:hAnsi="PT Astra Serif"/>
          <w:sz w:val="28"/>
          <w:szCs w:val="28"/>
        </w:rPr>
        <w:t xml:space="preserve">определения объема и условия предоставления из областного бюджета субсидии </w:t>
      </w:r>
      <w:r>
        <w:rPr>
          <w:rFonts w:ascii="PT Astra Serif" w:hAnsi="PT Astra Serif" w:cs="Aharoni"/>
          <w:sz w:val="28"/>
          <w:szCs w:val="28"/>
        </w:rPr>
        <w:t xml:space="preserve">областным государственным автономным учреждениям </w:t>
      </w:r>
      <w:r>
        <w:rPr>
          <w:rFonts w:ascii="PT Astra Serif" w:hAnsi="PT Astra Serif" w:cs="Times New Roman"/>
          <w:sz w:val="28"/>
          <w:szCs w:val="28"/>
        </w:rPr>
        <w:t xml:space="preserve">на обеспечение финансирования организаций, реализующих дополнительные образовательные программы спортивной подготовки, в соответствии                              с требованиями федеральных стандартов спортивной подготовки, утвержденном указанным приказом:</w:t>
      </w:r>
    </w:p>
    <w:p>
      <w:pPr>
        <w:pStyle w:val="ConsPlusNormal"/>
        <w:pBdr>
          <w:top w:val="none"/>
          <w:left w:val="none"/>
          <w:bottom w:val="none"/>
          <w:right w:val="none"/>
        </w:pBdr>
        <w:tabs>
          <w:tab w:val="left" w:pos="1134"/>
        </w:tabs>
        <w:ind w:firstLine="709"/>
        <w:jc w:val="both"/>
        <w:rPr>
          <w:rFonts w:ascii="PT Astra Serif" w:hAnsi="PT Astra Serif" w:cs="Aharoni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а) пункт 6 дополнить абзацем следующего содержания: </w:t>
      </w:r>
    </w:p>
    <w:p>
      <w:pPr>
        <w:pStyle w:val="ConsPlusNormal"/>
        <w:pBdr>
          <w:top w:val="none"/>
          <w:left w:val="none"/>
          <w:bottom w:val="none"/>
          <w:right w:val="none"/>
        </w:pBdr>
        <w:tabs>
          <w:tab w:val="left" w:pos="1134"/>
        </w:tabs>
        <w:ind w:firstLine="709"/>
        <w:jc w:val="both"/>
        <w:rPr>
          <w:rFonts w:ascii="PT Astra Serif" w:hAnsi="PT Astra Serif" w:cs="Aharoni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«В случае если Учрежде</w:t>
      </w:r>
      <w:r>
        <w:rPr>
          <w:rFonts w:ascii="PT Astra Serif" w:hAnsi="PT Astra Serif" w:cs="Aharoni"/>
          <w:sz w:val="28"/>
          <w:szCs w:val="28"/>
        </w:rPr>
        <w:t xml:space="preserve">ние не представило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                                        с законодательством Российской Федерации о </w:t>
      </w:r>
      <w:r>
        <w:rPr>
          <w:rFonts w:ascii="PT Astra Serif" w:hAnsi="PT Astra Serif" w:cs="Aharoni"/>
          <w:sz w:val="28"/>
          <w:szCs w:val="28"/>
        </w:rPr>
        <w:t xml:space="preserve">налогах и сборах, по форме, установленной приказом Федеральной налоговой службы, по собственной инициативе, Департамент направляет межведомственный запрос о ее представлении, в том числе в электронной форме с использованием единой системы межведомственного</w:t>
      </w:r>
      <w:r>
        <w:rPr>
          <w:rFonts w:ascii="PT Astra Serif" w:hAnsi="PT Astra Serif" w:cs="Aharoni"/>
          <w:sz w:val="28"/>
          <w:szCs w:val="28"/>
        </w:rPr>
        <w:t xml:space="preserve"> электронного взаимодействия и региональной системы межведомственного электронного взаимодействия Томской области</w:t>
      </w:r>
      <w:r>
        <w:rPr>
          <w:rFonts w:ascii="PT Astra Serif" w:hAnsi="PT Astra Serif" w:cs="Aharoni"/>
          <w:sz w:val="28"/>
          <w:szCs w:val="28"/>
        </w:rPr>
        <w:t xml:space="preserve">.</w:t>
      </w:r>
      <w:r>
        <w:rPr>
          <w:rFonts w:ascii="PT Astra Serif" w:hAnsi="PT Astra Serif" w:cs="Aharoni"/>
          <w:sz w:val="28"/>
          <w:szCs w:val="28"/>
        </w:rPr>
        <w:t xml:space="preserve">»;</w:t>
      </w:r>
    </w:p>
    <w:p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б) пункт 26 изложить в новой редакции: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26. </w:t>
      </w:r>
      <w:r>
        <w:rPr>
          <w:rFonts w:ascii="PT Astra Serif" w:hAnsi="PT Astra Serif" w:cs="Aharoni"/>
          <w:sz w:val="28"/>
          <w:szCs w:val="28"/>
        </w:rPr>
        <w:t xml:space="preserve">Департамент ежегодно формирует и утверждает одновременно                         с заключением соглашения план мероприятий по достижению результата предоставления </w:t>
      </w:r>
      <w:r>
        <w:rPr>
          <w:rFonts w:ascii="PT Astra Serif" w:hAnsi="PT Astra Serif" w:cs="Aharoni"/>
          <w:sz w:val="28"/>
          <w:szCs w:val="28"/>
        </w:rPr>
        <w:t xml:space="preserve">С</w:t>
      </w:r>
      <w:r>
        <w:rPr>
          <w:rFonts w:ascii="PT Astra Serif" w:hAnsi="PT Astra Serif" w:cs="Aharoni"/>
          <w:sz w:val="28"/>
          <w:szCs w:val="28"/>
        </w:rPr>
        <w:t xml:space="preserve">убсидии, а также </w:t>
      </w:r>
      <w:r>
        <w:rPr>
          <w:rFonts w:ascii="PT Astra Serif" w:hAnsi="PT Astra Serif" w:cs="Times New Roman"/>
          <w:sz w:val="28"/>
          <w:szCs w:val="28"/>
        </w:rPr>
        <w:t xml:space="preserve">проводит мониторинг достижения результатов предоставления </w:t>
      </w:r>
      <w:r>
        <w:rPr>
          <w:rFonts w:ascii="PT Astra Serif" w:hAnsi="PT Astra Serif" w:cs="Times New Roman"/>
          <w:sz w:val="28"/>
          <w:szCs w:val="28"/>
        </w:rPr>
        <w:t xml:space="preserve">С</w:t>
      </w:r>
      <w:r>
        <w:rPr>
          <w:rFonts w:ascii="PT Astra Serif" w:hAnsi="PT Astra Serif" w:cs="Times New Roman"/>
          <w:sz w:val="28"/>
          <w:szCs w:val="28"/>
        </w:rPr>
        <w:t xml:space="preserve">убсидии в порядке и по формам, </w:t>
      </w:r>
      <w:r>
        <w:rPr>
          <w:rFonts w:ascii="PT Astra Serif" w:hAnsi="PT Astra Serif" w:cs="Times New Roman"/>
          <w:sz w:val="28"/>
          <w:szCs w:val="28"/>
        </w:rPr>
        <w:t xml:space="preserve">установленн</w:t>
      </w:r>
      <w:r>
        <w:rPr>
          <w:rFonts w:ascii="PT Astra Serif" w:hAnsi="PT Astra Serif" w:cs="Times New Roman"/>
          <w:sz w:val="28"/>
          <w:szCs w:val="28"/>
        </w:rPr>
        <w:t xml:space="preserve">ым</w:t>
      </w:r>
      <w:r>
        <w:rPr>
          <w:rFonts w:ascii="PT Astra Serif" w:hAnsi="PT Astra Serif" w:cs="Times New Roman"/>
          <w:sz w:val="28"/>
          <w:szCs w:val="28"/>
        </w:rPr>
        <w:t xml:space="preserve"> приказом Министерства финансов Российской Федерации от 27.04.2024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53н </w:t>
      </w:r>
      <w:r>
        <w:rPr>
          <w:rFonts w:ascii="PT Astra Serif" w:hAnsi="PT Astra Serif" w:cs="Times New Roman"/>
          <w:sz w:val="28"/>
          <w:szCs w:val="28"/>
        </w:rPr>
        <w:t xml:space="preserve">«</w:t>
      </w:r>
      <w:r>
        <w:rPr>
          <w:rFonts w:ascii="PT Astra Serif" w:hAnsi="PT Astra Serif" w:cs="Times New Roman"/>
          <w:sz w:val="28"/>
          <w:szCs w:val="28"/>
        </w:rPr>
        <w:t xml:space="preserve"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</w:t>
      </w:r>
      <w:r>
        <w:rPr>
          <w:rFonts w:ascii="PT Astra Serif" w:hAnsi="PT Astra Serif" w:cs="Times New Roman"/>
          <w:sz w:val="28"/>
          <w:szCs w:val="28"/>
        </w:rPr>
        <w:t xml:space="preserve"> и автономным учреждениям, индивидуальным предпринимателям, физическим лицам - производителям товаров, работ, услуг</w:t>
      </w:r>
      <w:r>
        <w:rPr>
          <w:rFonts w:ascii="PT Astra Serif" w:hAnsi="PT Astra Serif" w:cs="Times New Roman"/>
          <w:sz w:val="28"/>
          <w:szCs w:val="28"/>
        </w:rPr>
        <w:t xml:space="preserve">»</w:t>
      </w:r>
      <w:r>
        <w:rPr>
          <w:rFonts w:ascii="PT Astra Serif" w:hAnsi="PT Astra Serif" w:cs="Times New Roman"/>
          <w:sz w:val="28"/>
          <w:szCs w:val="28"/>
        </w:rPr>
        <w:t xml:space="preserve">.</w:t>
      </w:r>
    </w:p>
    <w:p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Aharoni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План мероприятий по достижению результата предоставления </w:t>
      </w:r>
      <w:r>
        <w:rPr>
          <w:rFonts w:ascii="PT Astra Serif" w:hAnsi="PT Astra Serif" w:cs="Aharoni"/>
          <w:sz w:val="28"/>
          <w:szCs w:val="28"/>
        </w:rPr>
        <w:t xml:space="preserve">Субсидии</w:t>
      </w:r>
      <w:r>
        <w:rPr>
          <w:rFonts w:ascii="PT Astra Serif" w:hAnsi="PT Astra Serif" w:cs="Aharoni"/>
          <w:sz w:val="28"/>
          <w:szCs w:val="28"/>
        </w:rPr>
        <w:t xml:space="preserve"> на очередной финансовый год в случае, если соглашение заключено на срок, превышающий один календарный год, утверждается не позднее, чем за десять рабочих дней до завершения текущего финансового года.</w:t>
      </w:r>
    </w:p>
    <w:p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Aharoni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Внесение изменений в утвержденный План мероприятий по достижению результата предоставления </w:t>
      </w:r>
      <w:r>
        <w:rPr>
          <w:rFonts w:ascii="PT Astra Serif" w:hAnsi="PT Astra Serif" w:cs="Aharoni"/>
          <w:sz w:val="28"/>
          <w:szCs w:val="28"/>
        </w:rPr>
        <w:t xml:space="preserve">Субсидии</w:t>
      </w:r>
      <w:r>
        <w:rPr>
          <w:rFonts w:ascii="PT Astra Serif" w:hAnsi="PT Astra Serif" w:cs="Aharoni"/>
          <w:sz w:val="28"/>
          <w:szCs w:val="28"/>
        </w:rPr>
        <w:t xml:space="preserve"> осуществляется путем </w:t>
      </w:r>
      <w:r>
        <w:rPr>
          <w:rFonts w:ascii="PT Astra Serif" w:hAnsi="PT Astra Serif" w:cs="Aharoni"/>
          <w:sz w:val="28"/>
          <w:szCs w:val="28"/>
        </w:rPr>
        <w:t xml:space="preserve">его </w:t>
      </w:r>
      <w:r>
        <w:rPr>
          <w:rFonts w:ascii="PT Astra Serif" w:hAnsi="PT Astra Serif" w:cs="Aharoni"/>
          <w:sz w:val="28"/>
          <w:szCs w:val="28"/>
        </w:rPr>
        <w:t xml:space="preserve">утверждения в новой редакции одновременно с заключением дополнительного соглашения                      к соглашению</w:t>
      </w:r>
      <w:r>
        <w:rPr>
          <w:rFonts w:ascii="PT Astra Serif" w:hAnsi="PT Astra Serif" w:cs="Aharoni"/>
          <w:sz w:val="28"/>
          <w:szCs w:val="28"/>
        </w:rPr>
        <w:t xml:space="preserve">.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;</w:t>
      </w:r>
    </w:p>
    <w:p>
      <w:pPr>
        <w:pStyle w:val="ConsPlusNormal"/>
        <w:tabs>
          <w:tab w:val="left" w:pos="709"/>
        </w:tabs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ab/>
        <w:t xml:space="preserve">в) 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3 исключить.</w:t>
      </w:r>
    </w:p>
    <w:p>
      <w:pPr>
        <w:pStyle w:val="ConsPlusNormal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Aharoni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ab/>
        <w:t xml:space="preserve">2. 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 xml:space="preserve">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>
          <w:trHeight w:val="200"/>
        </w:trPr>
        <w:tc>
          <w:tcPr>
            <w:tcW w:w="3831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3507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         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</w:p>
        </w:tc>
        <w:tc>
          <w:tcPr>
            <w:tcW w:w="2301" w:type="dxa"/>
            <w:tcBorders>
              <w:top w:val="none"/>
              <w:left w:val="none"/>
              <w:bottom w:val="none"/>
              <w:right w:val="none"/>
            </w:tcBorders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</w:pPr>
      <w:r>
        <w:rPr>
          <w:rFonts w:ascii="PT Astra Serif" w:hAnsi="PT Astra Serif" w:cs="PT Astra Serif"/>
          <w:sz w:val="18"/>
          <w:szCs w:val="18"/>
        </w:rPr>
        <w:t xml:space="preserve">Хижченко</w:t>
      </w:r>
      <w:r>
        <w:rPr>
          <w:rFonts w:ascii="PT Astra Serif" w:hAnsi="PT Astra Serif" w:cs="PT Astra Serif"/>
          <w:sz w:val="18"/>
          <w:szCs w:val="18"/>
        </w:rPr>
        <w:t xml:space="preserve"> Л.</w:t>
      </w:r>
      <w:r>
        <w:rPr>
          <w:rFonts w:ascii="PT Astra Serif" w:hAnsi="PT Astra Serif" w:cs="PT Astra Serif"/>
          <w:sz w:val="18"/>
          <w:szCs w:val="18"/>
        </w:rPr>
        <w:t xml:space="preserve">Ю</w:t>
      </w:r>
    </w:p>
    <w:sectPr>
      <w:headerReference w:type="default" r:id="rId7"/>
      <w:headerReference w:type="first" r:id="rId8"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haroni">
    <w:panose1 w:val="02010803020104030203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1"/>
      <w:spacing w:before="0"/>
      <w:jc w:val="center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t xml:space="preserve"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4535" cy="65532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4535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Header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1834" w:hanging="112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834" w:hanging="112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834" w:hanging="112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basedOn w:val="Normal"/>
    <w:link w:val="a0"/>
    <w:uiPriority w:val="10"/>
    <w:qFormat/>
    <w:pPr>
      <w:spacing w:before="300" w:after="200"/>
      <w:contextualSpacing/>
    </w:pPr>
    <w:rPr>
      <w:sz w:val="48"/>
      <w:szCs w:val="48"/>
      <w:lang w:bidi="ar-SA"/>
    </w:rPr>
  </w:style>
  <w:style w:type="paragraph" w:styleId="Subtitle">
    <w:name w:val="Subtitle"/>
    <w:basedOn w:val="Normal"/>
    <w:link w:val="a1"/>
    <w:uiPriority w:val="11"/>
    <w:qFormat/>
    <w:pPr>
      <w:spacing w:before="200" w:after="200"/>
    </w:pPr>
    <w:rPr>
      <w:sz w:val="24"/>
      <w:szCs w:val="24"/>
      <w:lang w:bidi="ar-SA"/>
    </w:rPr>
  </w:style>
  <w:style w:type="paragraph" w:styleId="Quote">
    <w:name w:val="Quote"/>
    <w:basedOn w:val="Normal"/>
    <w:link w:val="20"/>
    <w:uiPriority w:val="29"/>
    <w:qFormat/>
    <w:pPr>
      <w:ind w:left="720" w:right="720"/>
    </w:pPr>
    <w:rPr>
      <w:i/>
      <w:lang w:eastAsia="ru-RU" w:bidi="ar-SA"/>
    </w:rPr>
  </w:style>
  <w:style w:type="paragraph" w:styleId="IntenseQuote">
    <w:name w:val="Intense Quote"/>
    <w:basedOn w:val="Normal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  <w:lang w:eastAsia="ru-RU" w:bidi="ar-SA"/>
    </w:rPr>
  </w:style>
  <w:style w:type="paragraph" w:styleId="Header" w:customStyle="1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</w:pPr>
  </w:style>
  <w:style w:type="paragraph" w:styleId="Footer" w:customStyle="1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</w:pPr>
  </w:style>
  <w:style w:type="paragraph" w:styleId="Caption" w:customStyle="1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basedOn w:val="Normal"/>
    <w:link w:val="a5"/>
    <w:uiPriority w:val="99"/>
    <w:semiHidden/>
    <w:unhideWhenUsed/>
    <w:pPr>
      <w:spacing w:after="40"/>
    </w:pPr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"/>
    <w:uiPriority w:val="99"/>
    <w:semiHidden/>
    <w:unhideWhenUsed/>
    <w:rPr>
      <w:szCs w:val="20"/>
      <w:lang w:val="en-US" w:bidi="ar-SA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uiPriority w:val="39"/>
    <w:unhideWhenUsed/>
    <w:pPr>
      <w:spacing w:after="57"/>
    </w:pPr>
  </w:style>
  <w:style w:type="paragraph" w:styleId="TOC2">
    <w:name w:val="toc 2"/>
    <w:basedOn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1"/>
    <w:uiPriority w:val="99"/>
  </w:style>
  <w:style w:type="character" w:styleId="FooterChar" w:customStyle="1">
    <w:name w:val="Footer Char"/>
    <w:basedOn w:val="DefaultParagraphFont"/>
    <w:link w:val="Footer1"/>
    <w:uiPriority w:val="99"/>
  </w:style>
  <w:style w:type="character" w:styleId="CaptionChar" w:customStyle="1">
    <w:name w:val="Caption Char"/>
    <w:link w:val="Footer"/>
    <w:uiPriority w:val="99"/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paragraph" w:styleId="Heading1" w:customStyle="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 w:customStyle="1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 w:customStyle="1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 w:customStyle="1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 w:customStyle="1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 w:customStyle="1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 w:customStyle="1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 w:customStyle="1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 w:customStyle="1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character" w:styleId="a0" w:customStyle="1">
    <w:name w:val="Название Знак"/>
    <w:link w:val="Title"/>
    <w:uiPriority w:val="10"/>
    <w:rPr>
      <w:sz w:val="48"/>
      <w:szCs w:val="48"/>
      <w:lang w:bidi="ar-SA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1" w:customStyle="1">
    <w:name w:val="Header1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1"/>
    <w:uiPriority w:val="99"/>
  </w:style>
  <w:style w:type="paragraph" w:styleId="Footer1" w:customStyle="1">
    <w:name w:val="Footer1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1"/>
    <w:uiPriority w:val="99"/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PlainTable1" w:customStyle="1">
    <w:name w:val="Plain Table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PlainTable2" w:customStyle="1">
    <w:name w:val="Plain Table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PlainTable3" w:customStyle="1">
    <w:name w:val="Plain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PlainTable4" w:customStyle="1">
    <w:name w:val="Plain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PlainTable5" w:customStyle="1">
    <w:name w:val="Plain Table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" w:customStyle="1">
    <w:name w:val="Grid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2" w:customStyle="1">
    <w:name w:val="Grid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3" w:customStyle="1">
    <w:name w:val="Grid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4" w:customStyle="1">
    <w:name w:val="Grid Table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" w:customStyle="1">
    <w:name w:val="Grid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" w:customStyle="1">
    <w:name w:val="Grid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" w:customStyle="1">
    <w:name w:val="Grid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" w:customStyle="1">
    <w:name w:val="List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2" w:customStyle="1">
    <w:name w:val="List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3" w:customStyle="1">
    <w:name w:val="List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4" w:customStyle="1">
    <w:name w:val="List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" w:customStyle="1">
    <w:name w:val="List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" w:customStyle="1">
    <w:name w:val="List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" w:customStyle="1">
    <w:name w:val="List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1" w:customStyle="1">
    <w:name w:val="Caption1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val="en-US" w:bidi="ar-SA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uiPriority w:val="99"/>
    <w:pPr>
      <w:widowControl w:val="off"/>
    </w:pPr>
    <w:rPr>
      <w:rFonts w:ascii="Calibri" w:hAnsi="Calibri" w:cs="Calibri"/>
      <w:sz w:val="22"/>
      <w:lang w:eastAsia="ru-RU"/>
    </w:rPr>
  </w:style>
  <w:style w:type="paragraph" w:styleId="BodyTextIndent">
    <w:name w:val="Body Text Indent"/>
    <w:basedOn w:val="Normal"/>
    <w:link w:val="a10"/>
    <w:uiPriority w:val="99"/>
    <w:unhideWhenUsed/>
    <w:pPr>
      <w:spacing w:after="120"/>
      <w:ind w:left="283"/>
    </w:pPr>
    <w:rPr>
      <w:lang w:val="en-US"/>
    </w:rPr>
  </w:style>
  <w:style w:type="character" w:styleId="a10" w:customStyle="1">
    <w:name w:val="Основной текст с отступом Знак"/>
    <w:link w:val="BodyTextIndent"/>
    <w:uiPriority w:val="99"/>
    <w:rPr>
      <w:szCs w:val="22"/>
      <w:lang w:eastAsia="en-US" w:bidi="en-US"/>
    </w:rPr>
  </w:style>
  <w:style w:type="paragraph" w:styleId="11" w:customStyle="1">
    <w:name w:val="Заголовок 11"/>
    <w:basedOn w:val="Footer1"/>
    <w:next w:val="Footer1"/>
    <w:pPr>
      <w:keepNext/>
      <w:shd w:val="nil" w:color="auto" w:fill="auto"/>
      <w:spacing w:before="240" w:after="60"/>
      <w:outlineLvl w:val="0"/>
    </w:pPr>
    <w:rPr>
      <w:rFonts w:ascii="Cambria" w:hAnsi="Cambria"/>
      <w:b/>
      <w:bCs/>
      <w:color w:val="000000"/>
      <w:sz w:val="32"/>
      <w:szCs w:val="32"/>
      <w:lang w:val="en-US"/>
    </w:rPr>
  </w:style>
  <w:style w:type="paragraph" w:styleId="Header0">
    <w:name w:val="header"/>
    <w:basedOn w:val="Normal"/>
    <w:link w:val="10"/>
    <w:uiPriority w:val="99"/>
    <w:semiHidden/>
    <w:unhideWhenUsed/>
    <w:pPr>
      <w:tabs>
        <w:tab w:val="center" w:pos="4677"/>
        <w:tab w:val="right" w:pos="9355"/>
      </w:tabs>
    </w:pPr>
  </w:style>
  <w:style w:type="character" w:styleId="10" w:customStyle="1">
    <w:name w:val="Верхний колонтитул Знак1"/>
    <w:basedOn w:val="DefaultParagraphFont"/>
    <w:link w:val="Header0"/>
    <w:uiPriority w:val="99"/>
    <w:semiHidden/>
    <w:rPr>
      <w:szCs w:val="22"/>
      <w:lang w:eastAsia="en-US" w:bidi="en-US"/>
    </w:rPr>
  </w:style>
  <w:style w:type="paragraph" w:styleId="Footer0">
    <w:name w:val="footer"/>
    <w:basedOn w:val="Normal"/>
    <w:link w:val="12"/>
    <w:uiPriority w:val="99"/>
    <w:semiHidden/>
    <w:unhideWhenUsed/>
    <w:pPr>
      <w:tabs>
        <w:tab w:val="center" w:pos="4677"/>
        <w:tab w:val="right" w:pos="9355"/>
      </w:tabs>
    </w:pPr>
  </w:style>
  <w:style w:type="character" w:styleId="12" w:customStyle="1">
    <w:name w:val="Нижний колонтитул Знак1"/>
    <w:basedOn w:val="DefaultParagraphFont"/>
    <w:link w:val="Footer0"/>
    <w:uiPriority w:val="99"/>
    <w:semiHidden/>
    <w:rPr>
      <w:szCs w:val="22"/>
      <w:lang w:eastAsia="en-US" w:bidi="en-US"/>
    </w:rPr>
  </w:style>
  <w:style w:type="paragraph" w:styleId="s1" w:customStyle="1">
    <w:name w:val="s_1"/>
    <w:basedOn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NormalWeb">
    <w:name w:val="Normal (Web)"/>
    <w:basedOn w:val="Normal"/>
    <w:uiPriority w:val="99"/>
    <w:unhideWhenUsed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3" w:customStyle="1">
    <w:name w:val="s_3"/>
    <w:basedOn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16" w:customStyle="1">
    <w:name w:val="s_16"/>
    <w:basedOn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empty" w:customStyle="1">
    <w:name w:val="empty"/>
    <w:basedOn w:val="Normal"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23</cp:revision>
  <dcterms:created xsi:type="dcterms:W3CDTF">2026-03-16T03:56:00Z</dcterms:created>
  <dcterms:modified xsi:type="dcterms:W3CDTF">2026-05-12T08:13:14Z</dcterms:modified>
  <cp:version>786432</cp:version>
</cp:coreProperties>
</file>