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06"/>
        <w:ind w:firstLine="425"/>
        <w:spacing w:after="0" w:before="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06"/>
        <w:ind w:firstLine="425"/>
        <w:jc w:val="left"/>
        <w:spacing w:after="0" w:before="0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ПРИКАЗ</w:t>
      </w:r>
      <w:r/>
    </w:p>
    <w:p>
      <w:pPr>
        <w:pStyle w:val="506"/>
        <w:jc w:val="left"/>
        <w:spacing w:after="0" w:before="0"/>
        <w:rPr>
          <w:rFonts w:ascii="PT Astra Serif" w:hAnsi="PT Astra Serif"/>
          <w:b w:val="false"/>
        </w:rPr>
      </w:pPr>
      <w:r>
        <w:rPr>
          <w:rFonts w:ascii="PT Astra Serif" w:hAnsi="PT Astra Serif"/>
          <w:b w:val="false"/>
        </w:rPr>
      </w:r>
      <w:r/>
    </w:p>
    <w:p>
      <w:pPr>
        <w:pStyle w:val="506"/>
        <w:jc w:val="left"/>
        <w:spacing w:after="0" w:before="0"/>
        <w:rPr>
          <w:rFonts w:ascii="PT Astra Serif" w:hAnsi="PT Astra Serif"/>
          <w:b w:val="false"/>
          <w:sz w:val="28"/>
          <w:szCs w:val="28"/>
        </w:rPr>
      </w:pPr>
      <w:r>
        <w:rPr>
          <w:rFonts w:ascii="PT Astra Serif" w:hAnsi="PT Astra Serif"/>
          <w:b w:val="false"/>
        </w:rPr>
        <w:t xml:space="preserve">03.03.2021</w:t>
      </w:r>
      <w:r>
        <w:rPr>
          <w:rFonts w:ascii="PT Astra Serif" w:hAnsi="PT Astra Serif"/>
        </w:rPr>
        <w:t xml:space="preserve">                                                                               </w:t>
      </w:r>
      <w:r>
        <w:rPr>
          <w:rFonts w:ascii="PT Astra Serif" w:hAnsi="PT Astra Serif"/>
        </w:rPr>
        <w:t xml:space="preserve">     </w:t>
      </w:r>
      <w:r>
        <w:rPr>
          <w:rFonts w:ascii="PT Astra Serif" w:hAnsi="PT Astra Serif"/>
        </w:rPr>
        <w:t xml:space="preserve">          </w:t>
      </w:r>
      <w:r>
        <w:rPr>
          <w:rFonts w:ascii="PT Astra Serif" w:hAnsi="PT Astra Serif"/>
        </w:rPr>
        <w:t xml:space="preserve">                                      </w:t>
      </w:r>
      <w:r>
        <w:rPr>
          <w:rFonts w:ascii="PT Astra Serif" w:hAnsi="PT Astra Serif"/>
          <w:b w:val="false"/>
        </w:rPr>
        <w:t xml:space="preserve">№</w:t>
      </w:r>
      <w:r>
        <w:rPr>
          <w:rFonts w:ascii="PT Astra Serif" w:hAnsi="PT Astra Serif"/>
          <w:b w:val="false"/>
        </w:rPr>
        <w:t xml:space="preserve"> 4</w:t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bCs/>
          <w:sz w:val="24"/>
          <w:szCs w:val="16"/>
        </w:rPr>
      </w:pPr>
      <w:r>
        <w:rPr>
          <w:rFonts w:ascii="PT Astra Serif" w:hAnsi="PT Astra Serif"/>
          <w:bCs/>
          <w:sz w:val="24"/>
          <w:szCs w:val="16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bCs/>
          <w:sz w:val="24"/>
          <w:szCs w:val="16"/>
        </w:rPr>
      </w:pPr>
      <w:r>
        <w:rPr>
          <w:rFonts w:ascii="PT Astra Serif" w:hAnsi="PT Astra Serif"/>
          <w:bCs/>
          <w:sz w:val="24"/>
          <w:szCs w:val="16"/>
        </w:rPr>
      </w:r>
      <w:r/>
    </w:p>
    <w:p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Об утверждении ведомственной целевой программы </w:t>
      </w:r>
      <w:r/>
    </w:p>
    <w:p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«Развитие и реализация потенциала молодежи в интересах области» </w:t>
      </w:r>
      <w:r/>
    </w:p>
    <w:p>
      <w:pPr>
        <w:ind w:right="1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ind w:right="1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521"/>
        <w:ind w:firstLine="709"/>
        <w:jc w:val="both"/>
        <w:widowControl/>
        <w:rPr>
          <w:rFonts w:ascii="PT Astra Serif" w:hAnsi="PT Astra Serif" w:cs="Times New Roman"/>
          <w:b w:val="false"/>
          <w:sz w:val="26"/>
          <w:szCs w:val="26"/>
        </w:rPr>
        <w:outlineLvl w:val="0"/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В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соответствии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с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постановлением Администрации Томской области от 29.06.2016 </w:t>
      </w:r>
      <w:r>
        <w:rPr>
          <w:rFonts w:ascii="PT Astra Serif" w:hAnsi="PT Astra Serif" w:cs="Times New Roman"/>
          <w:b w:val="false"/>
          <w:sz w:val="26"/>
          <w:szCs w:val="26"/>
        </w:rPr>
        <w:br/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№ 219а «Об утверждении Порядка разработки, утверждения и реализации ведомственных цел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евых программ Томской области»</w:t>
      </w:r>
      <w:r/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ПРИКАЗЫВАЮ:</w:t>
      </w:r>
      <w:r/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Утвердить прилагаемую ведомственную целевую программу Томской области «Развитие и реализация потенциала молодежи в </w:t>
      </w:r>
      <w:r>
        <w:rPr>
          <w:rFonts w:ascii="PT Astra Serif" w:hAnsi="PT Astra Serif"/>
          <w:szCs w:val="26"/>
        </w:rPr>
        <w:t xml:space="preserve">интересах области»</w:t>
      </w:r>
      <w:r>
        <w:rPr>
          <w:rFonts w:ascii="PT Astra Serif" w:hAnsi="PT Astra Serif"/>
          <w:szCs w:val="26"/>
        </w:rPr>
        <w:t xml:space="preserve">. </w:t>
      </w:r>
      <w:r/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Настоящий приказ вступает в силу со дня его официального опубликования.</w:t>
      </w:r>
      <w:r/>
    </w:p>
    <w:p>
      <w:pPr>
        <w:pStyle w:val="522"/>
        <w:ind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</w:t>
      </w:r>
      <w:r>
        <w:rPr>
          <w:rFonts w:ascii="PT Astra Serif" w:hAnsi="PT Astra Serif" w:cs="Times New Roman"/>
          <w:sz w:val="26"/>
          <w:szCs w:val="26"/>
        </w:rPr>
        <w:t xml:space="preserve">. </w:t>
      </w:r>
      <w:r>
        <w:rPr>
          <w:rFonts w:ascii="PT Astra Serif" w:hAnsi="PT Astra Serif" w:cs="Times New Roman"/>
          <w:sz w:val="26"/>
          <w:szCs w:val="26"/>
        </w:rPr>
        <w:t xml:space="preserve">Контроль за</w:t>
      </w:r>
      <w:r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 </w:t>
      </w:r>
      <w:r/>
    </w:p>
    <w:p>
      <w:pPr>
        <w:ind w:right="1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524288" behindDoc="1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185223</wp:posOffset>
                </wp:positionV>
                <wp:extent cx="1563370" cy="1550670"/>
                <wp:effectExtent l="0" t="0" r="0" b="0"/>
                <wp:wrapNone/>
                <wp:docPr id="2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563365" cy="15506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mso-wrap-distance-left:9.0pt;mso-wrap-distance-top:0.0pt;mso-wrap-distance-right:9.0pt;mso-wrap-distance-bottom:0.0pt;z-index:-524288;o:allowoverlap:true;o:allowincell:true;mso-position-horizontal-relative:text;margin-left:221.9pt;mso-position-horizontal:absolute;mso-position-vertical-relative:text;margin-top:14.6pt;mso-position-vertical:absolute;width:123.1pt;height:122.1pt;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/>
          <w:szCs w:val="26"/>
        </w:rPr>
      </w:r>
      <w:r/>
    </w:p>
    <w:p>
      <w:pPr>
        <w:jc w:val="both"/>
        <w:tabs>
          <w:tab w:val="left" w:pos="1085" w:leader="none"/>
        </w:tabs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/>
    </w:p>
    <w:p>
      <w:pPr>
        <w:jc w:val="both"/>
        <w:tabs>
          <w:tab w:val="left" w:pos="1085" w:leader="none"/>
        </w:tabs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/>
    </w:p>
    <w:p>
      <w:pPr>
        <w:pStyle w:val="508"/>
        <w:spacing w:before="0"/>
        <w:tabs>
          <w:tab w:val="left" w:pos="7285" w:leader="none"/>
        </w:tabs>
        <w:rPr>
          <w:rFonts w:ascii="PT Astra Serif" w:hAnsi="PT Astra Serif"/>
          <w:b w:val="false"/>
          <w:szCs w:val="26"/>
        </w:rPr>
      </w:pPr>
      <w:r>
        <w:rPr>
          <w:rFonts w:ascii="PT Astra Serif" w:hAnsi="PT Astra Serif"/>
          <w:b w:val="false"/>
          <w:szCs w:val="26"/>
        </w:rPr>
        <w:t xml:space="preserve">И.о</w:t>
      </w:r>
      <w:r>
        <w:rPr>
          <w:rFonts w:ascii="PT Astra Serif" w:hAnsi="PT Astra Serif"/>
          <w:b w:val="false"/>
          <w:szCs w:val="26"/>
        </w:rPr>
        <w:t xml:space="preserve">.н</w:t>
      </w:r>
      <w:r>
        <w:rPr>
          <w:rFonts w:ascii="PT Astra Serif" w:hAnsi="PT Astra Serif"/>
          <w:b w:val="false"/>
          <w:szCs w:val="26"/>
        </w:rPr>
        <w:t xml:space="preserve">ачальник</w:t>
      </w:r>
      <w:r>
        <w:rPr>
          <w:rFonts w:ascii="PT Astra Serif" w:hAnsi="PT Astra Serif"/>
          <w:b w:val="false"/>
          <w:szCs w:val="26"/>
        </w:rPr>
        <w:t xml:space="preserve">а</w:t>
      </w:r>
      <w:r>
        <w:rPr>
          <w:rFonts w:ascii="PT Astra Serif" w:hAnsi="PT Astra Serif"/>
          <w:b w:val="false"/>
          <w:szCs w:val="26"/>
        </w:rPr>
        <w:t xml:space="preserve"> Департамента</w:t>
      </w:r>
      <w:r>
        <w:rPr>
          <w:rFonts w:ascii="PT Astra Serif" w:hAnsi="PT Astra Serif"/>
          <w:b w:val="false"/>
          <w:szCs w:val="26"/>
        </w:rPr>
        <w:tab/>
        <w:t xml:space="preserve">        </w:t>
      </w:r>
      <w:r>
        <w:rPr>
          <w:rFonts w:ascii="PT Astra Serif" w:hAnsi="PT Astra Serif"/>
          <w:b w:val="false"/>
          <w:szCs w:val="26"/>
        </w:rPr>
        <w:t xml:space="preserve">     </w:t>
      </w:r>
      <w:r>
        <w:rPr>
          <w:rFonts w:ascii="PT Astra Serif" w:hAnsi="PT Astra Serif"/>
          <w:b w:val="false"/>
          <w:szCs w:val="26"/>
        </w:rPr>
        <w:t xml:space="preserve">     </w:t>
      </w:r>
      <w:r>
        <w:rPr>
          <w:rFonts w:ascii="PT Astra Serif" w:hAnsi="PT Astra Serif"/>
          <w:b w:val="false"/>
          <w:szCs w:val="26"/>
        </w:rPr>
        <w:t xml:space="preserve">С.Р.Приходько</w:t>
      </w:r>
      <w:r/>
    </w:p>
    <w:p>
      <w:r/>
      <w:r/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(3822) 535078</w:t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Шедлих Е.А.</w:t>
      </w:r>
      <w:r/>
    </w:p>
    <w:p>
      <w:pPr>
        <w:ind w:firstLine="0"/>
        <w:jc w:val="both"/>
        <w:tabs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pStyle w:val="522"/>
        <w:ind w:left="6946"/>
        <w:spacing w:after="12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Утверждена</w:t>
      </w:r>
      <w:r>
        <w:rPr>
          <w:rFonts w:ascii="PT Astra Serif" w:hAnsi="PT Astra Serif"/>
          <w:sz w:val="24"/>
          <w:szCs w:val="24"/>
        </w:rPr>
        <w:t xml:space="preserve"> </w:t>
      </w:r>
      <w:r/>
    </w:p>
    <w:p>
      <w:pPr>
        <w:pStyle w:val="522"/>
        <w:ind w:left="694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приказом Департамента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по молодежной политике, физической культуре и спорту Томской области</w:t>
      </w:r>
      <w:r/>
    </w:p>
    <w:p>
      <w:pPr>
        <w:pStyle w:val="522"/>
        <w:ind w:left="694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03.03.2021 №</w:t>
      </w:r>
      <w:r>
        <w:rPr>
          <w:rFonts w:ascii="PT Astra Serif" w:hAnsi="PT Astra Serif"/>
          <w:sz w:val="24"/>
          <w:szCs w:val="24"/>
        </w:rPr>
        <w:t xml:space="preserve"> 4</w:t>
      </w:r>
      <w:r/>
    </w:p>
    <w:p>
      <w:pPr>
        <w:pStyle w:val="522"/>
        <w:ind w:left="694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522"/>
        <w:ind w:left="694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center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  <w:t xml:space="preserve">Ведомственная целевая программа Томской области</w:t>
      </w:r>
      <w:r/>
    </w:p>
    <w:p>
      <w:pPr>
        <w:jc w:val="center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  <w:t xml:space="preserve">«Развитие и реализация потенциала молодежи в интересах области»</w:t>
      </w:r>
      <w:r/>
    </w:p>
    <w:p>
      <w:pPr>
        <w:pStyle w:val="522"/>
        <w:ind w:left="6946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483"/>
        <w:jc w:val="center"/>
        <w:spacing w:after="120"/>
        <w:rPr>
          <w:rFonts w:ascii="PT Astra Serif" w:hAnsi="PT Astra Serif"/>
          <w:b w:val="false"/>
          <w:szCs w:val="24"/>
        </w:rPr>
      </w:pPr>
      <w:r>
        <w:rPr>
          <w:rFonts w:ascii="PT Astra Serif" w:hAnsi="PT Astra Serif"/>
          <w:b w:val="false"/>
          <w:szCs w:val="24"/>
        </w:rPr>
        <w:t xml:space="preserve">Паспорт ведомственной целевой программы Томской области</w:t>
      </w:r>
      <w:r/>
    </w:p>
    <w:tbl>
      <w:tblPr>
        <w:tblW w:w="10206" w:type="dxa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1417"/>
        <w:gridCol w:w="1758"/>
        <w:gridCol w:w="1977"/>
        <w:gridCol w:w="1935"/>
      </w:tblGrid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субъекта бюджетного планирования </w:t>
            </w:r>
            <w:r/>
          </w:p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(далее - СБП)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708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Департамент по молодежной политике, ф</w:t>
            </w:r>
            <w:r>
              <w:rPr>
                <w:rFonts w:ascii="PT Astra Serif" w:hAnsi="PT Astra Serif" w:cs="Times New Roman" w:eastAsia="Arial Unicode MS"/>
                <w:sz w:val="24"/>
                <w:szCs w:val="24"/>
              </w:rPr>
              <w:t xml:space="preserve">изической культуре </w:t>
            </w:r>
            <w:r>
              <w:rPr>
                <w:rFonts w:ascii="PT Astra Serif" w:hAnsi="PT Astra Serif" w:cs="Times New Roman" w:eastAsia="Arial Unicode MS"/>
                <w:sz w:val="24"/>
                <w:szCs w:val="24"/>
              </w:rPr>
              <w:br/>
            </w:r>
            <w:r>
              <w:rPr>
                <w:rFonts w:ascii="PT Astra Serif" w:hAnsi="PT Astra Serif" w:cs="Times New Roman" w:eastAsia="Arial Unicode MS"/>
                <w:sz w:val="24"/>
                <w:szCs w:val="24"/>
              </w:rPr>
              <w:t xml:space="preserve">и спорту Томской области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Тип ведомственной целевой программы Томской области (далее - ВЦП)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7087" w:type="dxa"/>
            <w:textDirection w:val="lrTb"/>
            <w:noWrap w:val="false"/>
          </w:tcPr>
          <w:p>
            <w:pPr>
              <w:pStyle w:val="528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Первый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государственной программы Томской области, в состав которой включается ВЦП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7087" w:type="dxa"/>
            <w:textDirection w:val="lrTb"/>
            <w:noWrap w:val="false"/>
          </w:tcPr>
          <w:p>
            <w:pPr>
              <w:pStyle w:val="528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Развитие молодежной политики, физической культуры и спорта </w:t>
            </w:r>
            <w:r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 xml:space="preserve">в Томской области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подпрограммы государственной программы Томской области, в состав которой включается ВЦП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7087" w:type="dxa"/>
            <w:textDirection w:val="lrTb"/>
            <w:noWrap w:val="false"/>
          </w:tcPr>
          <w:p>
            <w:pPr>
              <w:pStyle w:val="528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Создание условий для развития эффективной молодежной политики в Томской области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Цель ВЦП (задача подпрограммы)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7087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Развитие и реализация потенциала молодежи в интересах области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Задача СБП согласно положению о СБП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708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Создание условий для успешной социализации и самореализации молодежи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Наименования показателей конечного результата (показателей результата достижения цели ВЦП (задачи СБП)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2021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2022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2023 год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 w:cs="Times New Roman"/>
              </w:rPr>
              <w:t xml:space="preserve"> Удельный вес молодежи (14-35</w:t>
            </w:r>
            <w:r>
              <w:rPr>
                <w:rFonts w:ascii="PT Astra Serif" w:hAnsi="PT Astra Serif" w:cs="Times New Roman"/>
              </w:rPr>
              <w:t xml:space="preserve"> лет) – участников молодежных социальных проектов и мероприятий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522"/>
              <w:jc w:val="center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%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9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28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28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 реализации ВЦП 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7087" w:type="dxa"/>
            <w:textDirection w:val="lrTb"/>
            <w:noWrap w:val="false"/>
          </w:tcPr>
          <w:p>
            <w:pPr>
              <w:pStyle w:val="52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ВЦП носит постоянный характер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vMerge w:val="restart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Объем расходов областного бюджета на реализацию ВЦП</w:t>
            </w:r>
            <w:r/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152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Коды классификации расходов бюджетов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vMerge w:val="restart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Сумма (тыс. руб.)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vMerge w:val="continue"/>
            <w:textDirection w:val="lrTb"/>
            <w:noWrap w:val="false"/>
          </w:tcPr>
          <w:p>
            <w:pPr>
              <w:pStyle w:val="52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раздел, подраздел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целевая статья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вид расходов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vMerge w:val="continue"/>
            <w:textDirection w:val="lrTb"/>
            <w:noWrap w:val="false"/>
          </w:tcPr>
          <w:p>
            <w:pPr>
              <w:pStyle w:val="52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2021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0707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084620301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27 795,6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0707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0846200910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630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3 000,0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0707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5"/>
              <w:ind w:right="11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08462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02860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4 500,0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35 295,6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2022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0707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084620301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27 795,6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0707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0846200910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630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3 000,0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30 795,6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2023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0707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084620301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27 795,6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0707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0846200910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630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3 000,0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11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5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7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x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1935" w:type="dxa"/>
            <w:textDirection w:val="lrTb"/>
            <w:noWrap w:val="false"/>
          </w:tcPr>
          <w:p>
            <w:pPr>
              <w:pStyle w:val="528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30 795,6</w:t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483"/>
        <w:jc w:val="center"/>
        <w:spacing w:after="120"/>
        <w:rPr>
          <w:rFonts w:ascii="PT Astra Serif" w:hAnsi="PT Astra Serif"/>
          <w:b w:val="false"/>
          <w:szCs w:val="24"/>
        </w:rPr>
      </w:pPr>
      <w:r/>
      <w:bookmarkStart w:id="0" w:name="sub_65"/>
      <w:r>
        <w:rPr>
          <w:rFonts w:ascii="PT Astra Serif" w:hAnsi="PT Astra Serif"/>
          <w:b w:val="false"/>
          <w:szCs w:val="24"/>
        </w:rPr>
        <w:t xml:space="preserve">Раздел 1. Характеристика цели ВЦП и направления работ по ее достижению</w:t>
      </w:r>
      <w:bookmarkEnd w:id="0"/>
      <w:r/>
    </w:p>
    <w:p>
      <w:pPr>
        <w:ind w:right="77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Выявлены основные проблемы: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м</w:t>
      </w:r>
      <w:r>
        <w:rPr>
          <w:sz w:val="24"/>
          <w:szCs w:val="24"/>
        </w:rPr>
        <w:t xml:space="preserve">олодежь замыкается на своей личной жизни, отсюда следует, что установки и ценности гражданственности и патриотизма носят слабо рефлексивный характер;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у</w:t>
      </w:r>
      <w:r>
        <w:rPr>
          <w:sz w:val="24"/>
          <w:szCs w:val="24"/>
        </w:rPr>
        <w:t xml:space="preserve">ровень активности и степень вовлеченности в мероприятия по развитию социальной активности, гражданственности и патриотизма находятся на низком уровне у подавляющего большинства молодежи региона;</w:t>
      </w:r>
      <w:r/>
    </w:p>
    <w:p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</w:t>
      </w:r>
      <w:r>
        <w:rPr>
          <w:rFonts w:ascii="PT Astra Serif" w:hAnsi="PT Astra Serif"/>
          <w:sz w:val="24"/>
          <w:szCs w:val="24"/>
        </w:rPr>
        <w:t xml:space="preserve">) </w:t>
      </w:r>
      <w:r>
        <w:rPr>
          <w:sz w:val="24"/>
          <w:szCs w:val="24"/>
        </w:rPr>
        <w:t xml:space="preserve">ограничение проведения массовых мероприятий, сокращение конкурсных мероприятий, проблемы с привлечением волонтеров 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как следствие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поиск и разработка новых форматов, которые не всегда оказывались удачными</w:t>
      </w:r>
      <w:r>
        <w:rPr>
          <w:rFonts w:ascii="PT Astra Serif" w:hAnsi="PT Astra Serif"/>
          <w:sz w:val="24"/>
          <w:szCs w:val="24"/>
        </w:rPr>
        <w:t xml:space="preserve">;</w:t>
      </w:r>
      <w:r/>
    </w:p>
    <w:p>
      <w:pPr>
        <w:pStyle w:val="522"/>
        <w:ind w:right="-1" w:firstLine="567"/>
        <w:jc w:val="both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4) отсутствие единой системы сбора, анализа и распространения информации </w:t>
      </w:r>
      <w:r>
        <w:rPr>
          <w:rFonts w:ascii="PT Astra Serif" w:hAnsi="PT Astra Serif" w:cs="Times New Roman"/>
          <w:sz w:val="24"/>
          <w:szCs w:val="24"/>
        </w:rPr>
        <w:br/>
      </w:r>
      <w:r>
        <w:rPr>
          <w:rFonts w:ascii="PT Astra Serif" w:hAnsi="PT Astra Serif" w:cs="Times New Roman"/>
          <w:sz w:val="24"/>
          <w:szCs w:val="24"/>
        </w:rPr>
        <w:t xml:space="preserve">о</w:t>
      </w:r>
      <w:r>
        <w:rPr>
          <w:rFonts w:ascii="PT Astra Serif" w:hAnsi="PT Astra Serif" w:cs="Times New Roman"/>
          <w:sz w:val="24"/>
          <w:szCs w:val="24"/>
        </w:rPr>
        <w:t xml:space="preserve"> существующих в области возможностях для реализации потенциала молодежи в разных сферах жизнедеятельности. Применение устаревших методов работы и подача информации без учета потребностей и особенностей молодежи приводит к тому, что основная часть молодежи </w:t>
      </w:r>
      <w:r>
        <w:rPr>
          <w:rFonts w:ascii="PT Astra Serif" w:hAnsi="PT Astra Serif" w:cs="Times New Roman"/>
          <w:sz w:val="24"/>
          <w:szCs w:val="24"/>
        </w:rPr>
        <w:br/>
      </w:r>
      <w:r>
        <w:rPr>
          <w:rFonts w:ascii="PT Astra Serif" w:hAnsi="PT Astra Serif" w:cs="Times New Roman"/>
          <w:sz w:val="24"/>
          <w:szCs w:val="24"/>
        </w:rPr>
        <w:t xml:space="preserve">не получает информацию о существующих услугах и, соответственно, не пользуется ими.</w:t>
      </w:r>
      <w:r/>
    </w:p>
    <w:p>
      <w:pPr>
        <w:ind w:right="1" w:firstLine="567"/>
        <w:jc w:val="both"/>
        <w:tabs>
          <w:tab w:val="left" w:pos="1134" w:leader="none"/>
        </w:tabs>
        <w:rPr>
          <w:rFonts w:ascii="PT Astra Serif" w:hAnsi="PT Astra Serif" w:eastAsia="Arial Unicode MS"/>
          <w:iCs/>
          <w:sz w:val="24"/>
          <w:szCs w:val="24"/>
        </w:rPr>
      </w:pPr>
      <w:r>
        <w:rPr>
          <w:rFonts w:ascii="PT Astra Serif" w:hAnsi="PT Astra Serif" w:eastAsia="Arial Unicode MS"/>
          <w:iCs/>
          <w:sz w:val="24"/>
          <w:szCs w:val="24"/>
        </w:rPr>
        <w:t xml:space="preserve">Основными направлениями работ по решению проблем являются:</w:t>
      </w:r>
      <w:r/>
    </w:p>
    <w:p>
      <w:pPr>
        <w:ind w:firstLine="567"/>
        <w:jc w:val="both"/>
        <w:tabs>
          <w:tab w:val="left" w:pos="993" w:leader="none"/>
          <w:tab w:val="left" w:pos="1134" w:leader="none"/>
        </w:tabs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1)</w:t>
      </w:r>
      <w:r>
        <w:rPr>
          <w:rFonts w:ascii="PT Astra Serif" w:hAnsi="PT Astra Serif"/>
          <w:bCs/>
          <w:sz w:val="24"/>
          <w:szCs w:val="24"/>
        </w:rPr>
        <w:t xml:space="preserve"> о</w:t>
      </w:r>
      <w:r>
        <w:rPr>
          <w:rFonts w:ascii="PT Astra Serif" w:hAnsi="PT Astra Serif"/>
          <w:bCs/>
          <w:sz w:val="24"/>
          <w:szCs w:val="24"/>
        </w:rPr>
        <w:t xml:space="preserve">рганизация и проведение мероприятий по оказанию государственной поддержки молодежным и </w:t>
      </w:r>
      <w:r>
        <w:rPr>
          <w:rFonts w:ascii="PT Astra Serif" w:hAnsi="PT Astra Serif"/>
          <w:sz w:val="24"/>
          <w:szCs w:val="24"/>
        </w:rPr>
        <w:t xml:space="preserve">детским общественным объединениям</w:t>
      </w:r>
      <w:r>
        <w:rPr>
          <w:rFonts w:ascii="PT Astra Serif" w:hAnsi="PT Astra Serif"/>
          <w:iCs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в виде предоставления субсидий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из областного бюджета на реализацию программ и проектов по итогам организации и проведения областного конкурса программ молодежных и детских общественных объединений, ф</w:t>
      </w:r>
      <w:r>
        <w:rPr>
          <w:rFonts w:ascii="PT Astra Serif" w:hAnsi="PT Astra Serif"/>
          <w:iCs/>
          <w:sz w:val="24"/>
          <w:szCs w:val="24"/>
        </w:rPr>
        <w:t xml:space="preserve">ормирование областного реестра молодежных и детских общественных объединений, пользующ</w:t>
      </w:r>
      <w:r>
        <w:rPr>
          <w:rFonts w:ascii="PT Astra Serif" w:hAnsi="PT Astra Serif"/>
          <w:iCs/>
          <w:sz w:val="24"/>
          <w:szCs w:val="24"/>
        </w:rPr>
        <w:t xml:space="preserve">ихся государственной поддержкой;</w:t>
      </w:r>
      <w:r>
        <w:rPr>
          <w:rFonts w:ascii="PT Astra Serif" w:hAnsi="PT Astra Serif"/>
          <w:iCs/>
          <w:sz w:val="24"/>
          <w:szCs w:val="24"/>
        </w:rPr>
        <w:t xml:space="preserve">  </w:t>
      </w:r>
      <w:r/>
    </w:p>
    <w:p>
      <w:pPr>
        <w:ind w:firstLine="567"/>
        <w:jc w:val="both"/>
        <w:tabs>
          <w:tab w:val="left" w:pos="993" w:leader="none"/>
          <w:tab w:val="left" w:pos="113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2)</w:t>
      </w:r>
      <w:r>
        <w:rPr>
          <w:rFonts w:ascii="PT Astra Serif" w:hAnsi="PT Astra Serif"/>
          <w:iCs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о</w:t>
      </w:r>
      <w:r>
        <w:rPr>
          <w:rFonts w:ascii="PT Astra Serif" w:hAnsi="PT Astra Serif"/>
          <w:sz w:val="24"/>
          <w:szCs w:val="24"/>
        </w:rPr>
        <w:t xml:space="preserve">рганизация и проведение мероприятий, направленных на развитие добровольчества</w:t>
      </w:r>
      <w:r>
        <w:rPr>
          <w:rFonts w:ascii="PT Astra Serif" w:hAnsi="PT Astra Serif"/>
          <w:sz w:val="24"/>
          <w:szCs w:val="24"/>
        </w:rPr>
        <w:t xml:space="preserve">;</w:t>
      </w:r>
      <w:r/>
    </w:p>
    <w:p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</w:t>
      </w:r>
      <w:r>
        <w:rPr>
          <w:rFonts w:ascii="PT Astra Serif" w:hAnsi="PT Astra Serif"/>
          <w:sz w:val="24"/>
          <w:szCs w:val="24"/>
        </w:rPr>
        <w:t xml:space="preserve">)</w:t>
      </w:r>
      <w:r>
        <w:rPr>
          <w:rFonts w:ascii="PT Astra Serif" w:hAnsi="PT Astra Serif"/>
          <w:sz w:val="24"/>
          <w:szCs w:val="24"/>
        </w:rPr>
        <w:t xml:space="preserve"> о</w:t>
      </w:r>
      <w:r>
        <w:rPr>
          <w:rFonts w:ascii="PT Astra Serif" w:hAnsi="PT Astra Serif"/>
          <w:sz w:val="24"/>
          <w:szCs w:val="24"/>
        </w:rPr>
        <w:t xml:space="preserve">рганизация и проведение областных и межмуниципальных мероприятий по работе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с детьми и молодежью.</w:t>
      </w:r>
      <w:r/>
    </w:p>
    <w:p>
      <w:pPr>
        <w:pStyle w:val="525"/>
        <w:ind w:firstLine="567"/>
        <w:jc w:val="both"/>
        <w:widowControl/>
        <w:tabs>
          <w:tab w:val="left" w:pos="709" w:leader="none"/>
          <w:tab w:val="left" w:pos="1134" w:leader="none"/>
        </w:tabs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Краткое описание результатов реализации показателей цели ВЦП за год, предшествующих году разработки ВЦП:</w:t>
      </w:r>
      <w:r/>
    </w:p>
    <w:p>
      <w:pPr>
        <w:pStyle w:val="519"/>
        <w:ind w:left="0" w:firstLine="567"/>
        <w:jc w:val="both"/>
        <w:spacing w:lineRule="auto" w:line="24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Специфика 2020 года – ситуация пандемии </w:t>
      </w:r>
      <w:r>
        <w:rPr>
          <w:rFonts w:ascii="PT Astra Serif" w:hAnsi="PT Astra Serif"/>
          <w:sz w:val="24"/>
          <w:szCs w:val="24"/>
        </w:rPr>
        <w:t xml:space="preserve">коронавируса</w:t>
      </w:r>
      <w:r>
        <w:rPr>
          <w:rFonts w:ascii="PT Astra Serif" w:hAnsi="PT Astra Serif"/>
          <w:sz w:val="24"/>
          <w:szCs w:val="24"/>
        </w:rPr>
        <w:t xml:space="preserve"> – безусловно оказала влияние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на социальную активность молодежи. Меры самоизоляции и переход в </w:t>
      </w:r>
      <w:r>
        <w:rPr>
          <w:rFonts w:ascii="PT Astra Serif" w:hAnsi="PT Astra Serif"/>
          <w:sz w:val="24"/>
          <w:szCs w:val="24"/>
        </w:rPr>
        <w:t xml:space="preserve">онлайн</w:t>
      </w:r>
      <w:r>
        <w:rPr>
          <w:rFonts w:ascii="PT Astra Serif" w:hAnsi="PT Astra Serif"/>
          <w:sz w:val="24"/>
          <w:szCs w:val="24"/>
        </w:rPr>
        <w:t xml:space="preserve"> стали факторами трансформации массового поведения в этот период. </w:t>
      </w:r>
      <w:r/>
    </w:p>
    <w:p>
      <w:pPr>
        <w:pStyle w:val="519"/>
        <w:ind w:left="0" w:firstLine="567"/>
        <w:jc w:val="both"/>
        <w:spacing w:lineRule="auto" w:line="24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</w:t>
      </w:r>
      <w:r>
        <w:rPr>
          <w:rFonts w:ascii="PT Astra Serif" w:hAnsi="PT Astra Serif"/>
          <w:sz w:val="24"/>
          <w:szCs w:val="24"/>
        </w:rPr>
        <w:t xml:space="preserve">рамках</w:t>
      </w:r>
      <w:r>
        <w:rPr>
          <w:rFonts w:ascii="PT Astra Serif" w:hAnsi="PT Astra Serif"/>
          <w:sz w:val="24"/>
          <w:szCs w:val="24"/>
        </w:rPr>
        <w:t xml:space="preserve"> Ведомственной целевой программы проведено 2 мероприятия:</w:t>
      </w:r>
      <w:r/>
    </w:p>
    <w:p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1)</w:t>
      </w:r>
      <w:r>
        <w:rPr>
          <w:rFonts w:ascii="PT Astra Serif" w:hAnsi="PT Astra Serif"/>
          <w:bCs/>
          <w:sz w:val="24"/>
          <w:szCs w:val="24"/>
        </w:rPr>
        <w:t xml:space="preserve"> О</w:t>
      </w:r>
      <w:r>
        <w:rPr>
          <w:rFonts w:ascii="PT Astra Serif" w:hAnsi="PT Astra Serif"/>
          <w:bCs/>
          <w:sz w:val="24"/>
          <w:szCs w:val="24"/>
        </w:rPr>
        <w:t xml:space="preserve">рганизация и проведение мероприятий по оказанию государственной поддержки молодежным и </w:t>
      </w:r>
      <w:r>
        <w:rPr>
          <w:rFonts w:ascii="PT Astra Serif" w:hAnsi="PT Astra Serif"/>
          <w:sz w:val="24"/>
          <w:szCs w:val="24"/>
        </w:rPr>
        <w:t xml:space="preserve">детским общественным объединениям.</w:t>
      </w:r>
      <w:r/>
    </w:p>
    <w:p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Департаментом ведется областной реестр молодежных и детских общественных объединений, пользующихся государственной поддержкой. На 1 января 2021 года в данном реестре состоят 38 организаций.</w:t>
      </w:r>
      <w:r/>
    </w:p>
    <w:p>
      <w:pPr>
        <w:ind w:firstLine="567"/>
        <w:jc w:val="both"/>
        <w:tabs>
          <w:tab w:val="left" w:pos="709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2020 году </w:t>
      </w:r>
      <w:r>
        <w:rPr>
          <w:rFonts w:ascii="PT Astra Serif" w:hAnsi="PT Astra Serif"/>
          <w:sz w:val="24"/>
          <w:szCs w:val="24"/>
        </w:rPr>
        <w:t xml:space="preserve">организован и проведен</w:t>
      </w:r>
      <w:r>
        <w:rPr>
          <w:rFonts w:ascii="PT Astra Serif" w:hAnsi="PT Astra Serif"/>
          <w:sz w:val="24"/>
          <w:szCs w:val="24"/>
        </w:rPr>
        <w:t xml:space="preserve"> областной конкурс программ молодежных и детских общественных объединений.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На конкурс подан</w:t>
      </w:r>
      <w:r>
        <w:rPr>
          <w:rFonts w:ascii="PT Astra Serif" w:hAnsi="PT Astra Serif"/>
          <w:sz w:val="24"/>
          <w:szCs w:val="24"/>
        </w:rPr>
        <w:t xml:space="preserve">о</w:t>
      </w:r>
      <w:r>
        <w:rPr>
          <w:rFonts w:ascii="PT Astra Serif" w:hAnsi="PT Astra Serif"/>
          <w:sz w:val="24"/>
          <w:szCs w:val="24"/>
        </w:rPr>
        <w:t xml:space="preserve"> 11 заявок</w:t>
      </w:r>
      <w:r>
        <w:rPr>
          <w:rFonts w:ascii="PT Astra Serif" w:hAnsi="PT Astra Serif"/>
          <w:sz w:val="24"/>
          <w:szCs w:val="24"/>
        </w:rPr>
        <w:t xml:space="preserve">. По итогам конкурса</w:t>
      </w:r>
      <w:r>
        <w:rPr>
          <w:rFonts w:ascii="PT Astra Serif" w:hAnsi="PT Astra Serif"/>
          <w:sz w:val="24"/>
          <w:szCs w:val="24"/>
        </w:rPr>
        <w:t xml:space="preserve"> субсидию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на реализацию своих программ в 2020 году получили </w:t>
      </w:r>
      <w:r>
        <w:rPr>
          <w:rFonts w:ascii="PT Astra Serif" w:hAnsi="PT Astra Serif"/>
          <w:sz w:val="24"/>
          <w:szCs w:val="24"/>
        </w:rPr>
        <w:t xml:space="preserve">6 организаций. В </w:t>
      </w:r>
      <w:r>
        <w:rPr>
          <w:rFonts w:ascii="PT Astra Serif" w:hAnsi="PT Astra Serif"/>
          <w:sz w:val="24"/>
          <w:szCs w:val="24"/>
        </w:rPr>
        <w:t xml:space="preserve">данных</w:t>
      </w:r>
      <w:r>
        <w:rPr>
          <w:rFonts w:ascii="PT Astra Serif" w:hAnsi="PT Astra Serif"/>
          <w:sz w:val="24"/>
          <w:szCs w:val="24"/>
        </w:rPr>
        <w:t xml:space="preserve"> программах участие приняли около 16 000 человек.</w:t>
      </w:r>
      <w:r/>
    </w:p>
    <w:p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</w:t>
      </w:r>
      <w:r>
        <w:rPr>
          <w:rFonts w:ascii="PT Astra Serif" w:hAnsi="PT Astra Serif"/>
          <w:sz w:val="24"/>
          <w:szCs w:val="24"/>
        </w:rPr>
        <w:t xml:space="preserve"> Оказание государственных услуг (выполнение государственных работ) в сфере развития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и реализации потенциала молодежи в интересах области областными государственными учреждениями, подведомственными субъекту бюджетного планирования, в соответствии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с государственным заданием.</w:t>
      </w:r>
      <w:r/>
    </w:p>
    <w:p>
      <w:pPr>
        <w:ind w:firstLine="567"/>
        <w:jc w:val="both"/>
        <w:tabs>
          <w:tab w:val="left" w:pos="709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В </w:t>
      </w:r>
      <w:r>
        <w:rPr>
          <w:rFonts w:ascii="PT Astra Serif" w:hAnsi="PT Astra Serif"/>
          <w:color w:val="000000"/>
          <w:sz w:val="24"/>
          <w:szCs w:val="24"/>
        </w:rPr>
        <w:t xml:space="preserve">рамках</w:t>
      </w:r>
      <w:r>
        <w:rPr>
          <w:rFonts w:ascii="PT Astra Serif" w:hAnsi="PT Astra Serif"/>
          <w:color w:val="000000"/>
          <w:sz w:val="24"/>
          <w:szCs w:val="24"/>
        </w:rPr>
        <w:t xml:space="preserve"> государственного задания </w:t>
      </w:r>
      <w:r>
        <w:rPr>
          <w:rFonts w:ascii="PT Astra Serif" w:hAnsi="PT Astra Serif"/>
          <w:sz w:val="24"/>
          <w:szCs w:val="24"/>
        </w:rPr>
        <w:t xml:space="preserve">ОГАУ «Центр спортивной подготовки сборных команд Томской области» </w:t>
      </w:r>
      <w:r>
        <w:rPr>
          <w:rFonts w:ascii="PT Astra Serif" w:hAnsi="PT Astra Serif"/>
          <w:color w:val="000000"/>
          <w:sz w:val="24"/>
          <w:szCs w:val="24"/>
        </w:rPr>
        <w:t xml:space="preserve">проведено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13 мероприятий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(и</w:t>
      </w:r>
      <w:r>
        <w:rPr>
          <w:rFonts w:ascii="PT Astra Serif" w:hAnsi="PT Astra Serif"/>
          <w:sz w:val="24"/>
          <w:szCs w:val="24"/>
        </w:rPr>
        <w:t xml:space="preserve">з</w:t>
      </w:r>
      <w:r>
        <w:rPr>
          <w:rFonts w:ascii="PT Astra Serif" w:hAnsi="PT Astra Serif"/>
          <w:sz w:val="24"/>
          <w:szCs w:val="24"/>
        </w:rPr>
        <w:t xml:space="preserve"> запланированных 23 мероприятий)</w:t>
      </w:r>
      <w:r>
        <w:rPr>
          <w:rFonts w:ascii="PT Astra Serif" w:hAnsi="PT Astra Serif"/>
          <w:sz w:val="24"/>
          <w:szCs w:val="24"/>
        </w:rPr>
        <w:t xml:space="preserve">, в которых приняли участие 34 413 человек.</w:t>
      </w:r>
      <w:r>
        <w:rPr>
          <w:rFonts w:ascii="PT Astra Serif" w:hAnsi="PT Astra Serif"/>
          <w:sz w:val="24"/>
          <w:szCs w:val="24"/>
        </w:rPr>
        <w:t xml:space="preserve"> Уменьшение показателя связано с неблагоприятной эпидемиологической ситуацией в 2020 году.</w:t>
      </w:r>
      <w:r/>
    </w:p>
    <w:p>
      <w:pPr>
        <w:pStyle w:val="525"/>
        <w:ind w:firstLine="567"/>
        <w:jc w:val="both"/>
        <w:widowControl/>
        <w:tabs>
          <w:tab w:val="left" w:pos="567" w:leader="none"/>
          <w:tab w:val="left" w:pos="993" w:leader="none"/>
          <w:tab w:val="left" w:pos="1418" w:leader="none"/>
        </w:tabs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Участниками Всероссийских, межрегиональных и международных мероприятий, включая </w:t>
      </w:r>
      <w:r>
        <w:rPr>
          <w:rFonts w:ascii="PT Astra Serif" w:hAnsi="PT Astra Serif" w:cs="Times New Roman"/>
          <w:sz w:val="24"/>
          <w:szCs w:val="24"/>
        </w:rPr>
        <w:t xml:space="preserve">форумную</w:t>
      </w:r>
      <w:r>
        <w:rPr>
          <w:rFonts w:ascii="PT Astra Serif" w:hAnsi="PT Astra Serif" w:cs="Times New Roman"/>
          <w:sz w:val="24"/>
          <w:szCs w:val="24"/>
        </w:rPr>
        <w:t xml:space="preserve"> кампанию, в 2020 году стали 115 человек, </w:t>
      </w:r>
      <w:r>
        <w:rPr>
          <w:rFonts w:ascii="PT Astra Serif" w:hAnsi="PT Astra Serif" w:cs="Times New Roman"/>
          <w:color w:val="000000"/>
          <w:sz w:val="24"/>
          <w:szCs w:val="24"/>
        </w:rPr>
        <w:t xml:space="preserve">в течение года организована подготовка </w:t>
      </w:r>
      <w:r>
        <w:rPr>
          <w:rFonts w:ascii="PT Astra Serif" w:hAnsi="PT Astra Serif" w:cs="Times New Roman"/>
          <w:color w:val="000000"/>
          <w:sz w:val="24"/>
          <w:szCs w:val="24"/>
        </w:rPr>
        <w:br/>
      </w:r>
      <w:r>
        <w:rPr>
          <w:rFonts w:ascii="PT Astra Serif" w:hAnsi="PT Astra Serif" w:cs="Times New Roman"/>
          <w:color w:val="000000"/>
          <w:sz w:val="24"/>
          <w:szCs w:val="24"/>
        </w:rPr>
        <w:t xml:space="preserve">и распространение на территории Томской области целевой информации для молодежи.</w:t>
      </w:r>
      <w:r/>
    </w:p>
    <w:p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483"/>
        <w:jc w:val="center"/>
        <w:rPr>
          <w:rFonts w:ascii="PT Astra Serif" w:hAnsi="PT Astra Serif"/>
          <w:b w:val="false"/>
          <w:szCs w:val="24"/>
        </w:rPr>
      </w:pPr>
      <w:r>
        <w:rPr>
          <w:rFonts w:ascii="PT Astra Serif" w:hAnsi="PT Astra Serif"/>
          <w:b w:val="false"/>
          <w:szCs w:val="24"/>
        </w:rPr>
        <w:t xml:space="preserve">Раздел 2. Описание методик расчета показателей непосредственного результата </w:t>
      </w:r>
      <w:r/>
    </w:p>
    <w:p>
      <w:pPr>
        <w:pStyle w:val="483"/>
        <w:jc w:val="center"/>
        <w:spacing w:after="120"/>
        <w:rPr>
          <w:rFonts w:ascii="PT Astra Serif" w:hAnsi="PT Astra Serif"/>
          <w:szCs w:val="24"/>
        </w:rPr>
      </w:pPr>
      <w:r>
        <w:rPr>
          <w:rFonts w:ascii="PT Astra Serif" w:hAnsi="PT Astra Serif"/>
          <w:b w:val="false"/>
          <w:szCs w:val="24"/>
        </w:rPr>
        <w:t xml:space="preserve">(мероприятий ВЦП)</w:t>
      </w:r>
      <w:r>
        <w:rPr>
          <w:rFonts w:ascii="PT Astra Serif" w:hAnsi="PT Astra Serif"/>
          <w:b w:val="false"/>
          <w:szCs w:val="24"/>
        </w:rPr>
        <w:t xml:space="preserve"> </w:t>
      </w:r>
      <w:r/>
    </w:p>
    <w:tbl>
      <w:tblPr>
        <w:tblW w:w="10206" w:type="dxa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2126"/>
        <w:gridCol w:w="1560"/>
        <w:gridCol w:w="2409"/>
      </w:tblGrid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показателя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 показателя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126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Положительная динамика в течение финансового года (рост/снижение/ стабильность)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Методика расчета показателя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2409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Исходная информация для расчета показателя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1. Количество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молодежных и детских общественных объединений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, включенных в областной реестр молодежных и детских общественных объединений, пользующихся государственной поддержкой (мероприятие 1)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единиц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126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рост 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подсчет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2409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областного реестра молодежных и детских общественных объединений, пользующихся государственной поддержкой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2. Количество участников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программ молодежных и детских общественных объединений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(мероприятие 1)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человек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126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рост 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подсчет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2409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информационных отчетов по итогам организации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и проведения конкурса программ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молодежных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и детских общественных объединений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 Количество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ресурсных центров, реализующих мероприятия, направленные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 развитие добровольчества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волонтерства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(мероприятие 2)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единиц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126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стабильность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подсчет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2409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отчёта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к соглашению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 предоставлении субсидии на иные цели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К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оличество человек (от 14 до 35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лет), вовлеченных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доброброльческую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(волонтерскую) деятельность (мероприятие 2)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человек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126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рост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подсчет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2409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единой информационной системы «Доброволец России»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5. Количество государственных услуг (работ), выполненных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в полном объеме (мероприятие 3)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единиц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126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стабильность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подсчет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2409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отчета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 выполнении государственного задания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6. Количество областных государственных учреждений, выполнивших государственное задание в полном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объеме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(мероприятие 3)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единиц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126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стабильность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подсчет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2409" w:type="dxa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Данные отчета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 выполнении государственного задания</w:t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483"/>
        <w:jc w:val="center"/>
        <w:spacing w:after="120"/>
        <w:rPr>
          <w:rFonts w:ascii="PT Astra Serif" w:hAnsi="PT Astra Serif"/>
          <w:szCs w:val="24"/>
        </w:rPr>
      </w:pPr>
      <w:r/>
      <w:bookmarkStart w:id="1" w:name="sub_67"/>
      <w:r>
        <w:rPr>
          <w:rFonts w:ascii="PT Astra Serif" w:hAnsi="PT Astra Serif"/>
          <w:b w:val="false"/>
          <w:szCs w:val="24"/>
        </w:rPr>
        <w:t xml:space="preserve">Раздел 3. Порядок управления ВЦП</w:t>
      </w:r>
      <w:bookmarkEnd w:id="1"/>
      <w:r/>
      <w:r/>
    </w:p>
    <w:tbl>
      <w:tblPr>
        <w:tblW w:w="0" w:type="auto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528"/>
      </w:tblGrid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Ответственный</w:t>
            </w:r>
            <w:r>
              <w:rPr>
                <w:rFonts w:ascii="PT Astra Serif" w:hAnsi="PT Astra Serif"/>
              </w:rPr>
              <w:t xml:space="preserve"> за реализацию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  <w:iCs/>
              </w:rPr>
              <w:t xml:space="preserve">Антонов Кирилл Максимович, председатель комитета по молодежной политике Департамента по молодежной политике, физической культуре</w:t>
            </w:r>
            <w:r>
              <w:rPr>
                <w:rFonts w:ascii="PT Astra Serif" w:hAnsi="PT Astra Serif" w:cs="Times New Roman"/>
                <w:iCs/>
              </w:rPr>
              <w:br/>
            </w:r>
            <w:r>
              <w:rPr>
                <w:rFonts w:ascii="PT Astra Serif" w:hAnsi="PT Astra Serif" w:cs="Times New Roman"/>
                <w:iCs/>
              </w:rPr>
              <w:t xml:space="preserve">и спорту Томской области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Порядок организации работы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 xml:space="preserve">по реализации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i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ВЦП реализуется специалистами Комитета по молодежной политике и ОГАУ «Центр спортивной подготовки сборных команд Томской области», общественными  орган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изациями, муниципальными образованиями Томской области. Мероприятия проводятся молодежными и детскими общественными объединениями, некоммерческими и другими организациями, осуществляющими свою деятельность в сфере молодежной политики на конкурсной основе. 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Ответственный за ежеквартальный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 xml:space="preserve">и ежегодный мониторинг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  <w:iCs/>
              </w:rPr>
              <w:t xml:space="preserve">Шедлих Елена Анатольевна, консультант комитета по молодежной политике Департамента </w:t>
            </w:r>
            <w:r>
              <w:rPr>
                <w:rFonts w:ascii="PT Astra Serif" w:hAnsi="PT Astra Serif" w:cs="Times New Roman"/>
                <w:iCs/>
              </w:rPr>
              <w:br/>
            </w:r>
            <w:r>
              <w:rPr>
                <w:rFonts w:ascii="PT Astra Serif" w:hAnsi="PT Astra Serif" w:cs="Times New Roman"/>
                <w:iCs/>
              </w:rPr>
              <w:t xml:space="preserve">по молодежной политике, физической культуре</w:t>
            </w:r>
            <w:r>
              <w:rPr>
                <w:rFonts w:ascii="PT Astra Serif" w:hAnsi="PT Astra Serif" w:cs="Times New Roman"/>
                <w:iCs/>
              </w:rPr>
              <w:br/>
            </w:r>
            <w:r>
              <w:rPr>
                <w:rFonts w:ascii="PT Astra Serif" w:hAnsi="PT Astra Serif" w:cs="Times New Roman"/>
                <w:iCs/>
              </w:rPr>
              <w:t xml:space="preserve">и спорту Томской области </w:t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483"/>
        <w:jc w:val="center"/>
        <w:spacing w:after="120"/>
        <w:rPr>
          <w:rFonts w:ascii="PT Astra Serif" w:hAnsi="PT Astra Serif"/>
          <w:szCs w:val="24"/>
        </w:rPr>
      </w:pPr>
      <w:r/>
      <w:bookmarkStart w:id="2" w:name="sub_68"/>
      <w:r>
        <w:rPr>
          <w:rFonts w:ascii="PT Astra Serif" w:hAnsi="PT Astra Serif"/>
          <w:b w:val="false"/>
          <w:szCs w:val="24"/>
        </w:rPr>
        <w:t xml:space="preserve">Раздел 4. Оценка рисков реализации ВЦП</w:t>
      </w:r>
      <w:bookmarkEnd w:id="2"/>
      <w:r/>
      <w:r/>
    </w:p>
    <w:tbl>
      <w:tblPr>
        <w:tblW w:w="0" w:type="auto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528"/>
      </w:tblGrid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Описание рисков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Оценка возможного влияния рисков на реализацию ВЦП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5"/>
              <w:widowControl/>
              <w:tabs>
                <w:tab w:val="left" w:pos="459" w:leader="none"/>
                <w:tab w:val="left" w:pos="497" w:leader="none"/>
              </w:tabs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сутствие учреждений,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подведомственных органам по делам молодежи, н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едостаточное развитие материально-технической базы отрасли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Не позволяет оперативно на должном уровне развивать молодежную политику на областном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и муниципальном уровнях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5"/>
              <w:widowControl/>
              <w:tabs>
                <w:tab w:val="left" w:pos="356" w:leader="none"/>
              </w:tabs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Сокращение штатной численности специалистов, занимающихся реализацией молодежной политики и о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тсутствие в двух муниципальных образованиях штатных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спе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циалистов по работе с молодежью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i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Возможно снижение показателя задачи СПБ/Цели ВЦП, в связи с тем, что молодые люди, проживающие в районах, где нет специалистов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по молодежной политике, не получают (или получают несвоевременно) информацию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о проводимых мероприятиях, ресурсах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и возможностях. Как следствие, значительная часть молодежи может оказаться за рамками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 реализации молодежных проектов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Изменения демографической ситуации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br/>
            </w: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в Томской области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i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Возможно снижение показателя задачи СПБ/Цели ВЦП в связи с увеличением доли молодежи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br/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 общей численности нас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еления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Негативные изменения в мировой экономике и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экономике Российской Федерации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Вызывает отрицательное изменение показателей развития экономики Томской области и негативно сказывается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 финансировании отрасли, и, как следствие, приводит к снижению 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показателя задачи СПБ/Цели ВЦП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Неблагоприятные погодные условия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i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Возможно снижение показателя задачи СПБ/Цели ВЦП в связи с отменой и (или) переносом сроков проведения мероприятий, сокращением количества участников по причине неблагоприятных погодных у</w:t>
            </w: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словий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i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Большая географическая удаленность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br/>
            </w: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от областного центра, отсутствие транспортного сообщения с частью муниципальных 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t xml:space="preserve">образований в период межсезонья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Cs/>
                <w:sz w:val="24"/>
                <w:szCs w:val="24"/>
              </w:rPr>
              <w:t xml:space="preserve">Возможно незначительное снижение показателя задачи СПБ/Цели ВЦП в связи с ограниченными возможностями участия молодежи удаленных муниципальных образований в мероприятиях</w:t>
            </w:r>
            <w:r/>
          </w:p>
        </w:tc>
      </w:tr>
      <w:tr>
        <w:trPr/>
        <w:tc>
          <w:tcPr>
            <w:tcBorders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67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Возможные косвенные последствия реализации ВЦП,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носящие отрицательный характер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bottom w:val="single" w:sz="4" w:space="0" w:color="auto"/>
            </w:tcBorders>
            <w:tcW w:w="5528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Косвенные последствия реализации ВЦП, носящие отри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цательный характер, отсутствуют</w:t>
            </w:r>
            <w:r/>
          </w:p>
        </w:tc>
      </w:tr>
    </w:tbl>
    <w:p>
      <w:pPr>
        <w:pStyle w:val="52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522"/>
        <w:rPr>
          <w:sz w:val="26"/>
          <w:szCs w:val="26"/>
        </w:rPr>
        <w:sectPr>
          <w:headerReference w:type="default" r:id="rId8"/>
          <w:headerReference w:type="even" r:id="rId9"/>
          <w:headerReference w:type="first" r:id="rId10"/>
          <w:footnotePr/>
          <w:type w:val="nextPage"/>
          <w:pgSz w:w="11907" w:h="16840" w:orient="portrait"/>
          <w:pgMar w:top="1134" w:right="567" w:bottom="1134" w:left="1134" w:header="1191" w:footer="567" w:gutter="0"/>
          <w:cols w:num="1" w:sep="0" w:space="720" w:equalWidth="1"/>
          <w:docGrid w:linePitch="360"/>
          <w:titlePg/>
        </w:sectPr>
      </w:pPr>
      <w:r>
        <w:rPr>
          <w:sz w:val="26"/>
          <w:szCs w:val="26"/>
        </w:rPr>
      </w:r>
      <w:r/>
    </w:p>
    <w:p>
      <w:pPr>
        <w:jc w:val="center"/>
        <w:spacing w:after="120"/>
        <w:rPr>
          <w:rFonts w:ascii="PT Astra Serif" w:hAnsi="PT Astra Serif"/>
          <w:sz w:val="24"/>
          <w:szCs w:val="24"/>
        </w:rPr>
        <w:outlineLvl w:val="2"/>
      </w:pPr>
      <w:r>
        <w:rPr>
          <w:rFonts w:ascii="PT Astra Serif" w:hAnsi="PT Astra Serif"/>
          <w:sz w:val="24"/>
          <w:szCs w:val="24"/>
        </w:rPr>
        <w:t xml:space="preserve">Раздел 5. Мероприятия ВЦП</w:t>
      </w:r>
      <w:r/>
    </w:p>
    <w:tbl>
      <w:tblPr>
        <w:tblW w:w="15825" w:type="dxa"/>
        <w:tblInd w:w="-719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1636"/>
        <w:gridCol w:w="1843"/>
        <w:gridCol w:w="850"/>
        <w:gridCol w:w="709"/>
        <w:gridCol w:w="709"/>
        <w:gridCol w:w="992"/>
        <w:gridCol w:w="860"/>
        <w:gridCol w:w="851"/>
        <w:gridCol w:w="851"/>
        <w:gridCol w:w="2409"/>
        <w:gridCol w:w="1134"/>
        <w:gridCol w:w="850"/>
        <w:gridCol w:w="851"/>
        <w:gridCol w:w="851"/>
      </w:tblGrid>
      <w:tr>
        <w:trPr>
          <w:cantSplit/>
          <w:trHeight w:val="480"/>
        </w:trPr>
        <w:tc>
          <w:tcPr>
            <w:tcW w:w="429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№ 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пп</w:t>
            </w:r>
            <w:r/>
          </w:p>
        </w:tc>
        <w:tc>
          <w:tcPr>
            <w:tcW w:w="1636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мероприятия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Содержание мероприятия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Срок реализации мероприятия</w:t>
            </w:r>
            <w:r/>
          </w:p>
        </w:tc>
        <w:tc>
          <w:tcPr>
            <w:tcW w:w="709" w:type="dxa"/>
            <w:vAlign w:val="center"/>
            <w:vMerge w:val="restart"/>
            <w:textDirection w:val="btLr"/>
            <w:noWrap w:val="false"/>
          </w:tcPr>
          <w:p>
            <w:pPr>
              <w:pStyle w:val="525"/>
              <w:ind w:left="113" w:right="113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Исполнитель мероприятия</w:t>
            </w:r>
            <w:r/>
          </w:p>
        </w:tc>
        <w:tc>
          <w:tcPr>
            <w:tcW w:w="992" w:type="dxa"/>
            <w:vMerge w:val="restart"/>
            <w:textDirection w:val="btLr"/>
            <w:noWrap w:val="false"/>
          </w:tcPr>
          <w:p>
            <w:pPr>
              <w:pStyle w:val="525"/>
              <w:ind w:left="113" w:right="113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Код классификации расходов (раздел, подраздел, цел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евая статья,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вид расх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одов)</w:t>
            </w:r>
            <w:r/>
          </w:p>
        </w:tc>
        <w:tc>
          <w:tcPr>
            <w:gridSpan w:val="3"/>
            <w:tcW w:w="2562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Расходы на мероприятие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(тыс. руб.)</w:t>
            </w:r>
            <w:r/>
          </w:p>
        </w:tc>
        <w:tc>
          <w:tcPr>
            <w:gridSpan w:val="5"/>
            <w:tcW w:w="6095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Показатели непосредственного результата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(показатели реализации мероприятия)</w:t>
            </w:r>
            <w:r/>
          </w:p>
        </w:tc>
      </w:tr>
      <w:tr>
        <w:trPr>
          <w:cantSplit/>
          <w:trHeight w:val="1969"/>
        </w:trPr>
        <w:tc>
          <w:tcPr>
            <w:tcW w:w="429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1636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 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(месяц/ год)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  (месяц/ год)</w:t>
            </w:r>
            <w:r/>
          </w:p>
        </w:tc>
        <w:tc>
          <w:tcPr>
            <w:tcW w:w="709" w:type="dxa"/>
            <w:vAlign w:val="center"/>
            <w:vMerge w:val="continue"/>
            <w:textDirection w:val="btLr"/>
            <w:noWrap w:val="false"/>
          </w:tcPr>
          <w:p>
            <w:pPr>
              <w:pStyle w:val="525"/>
              <w:ind w:left="113" w:right="113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992" w:type="dxa"/>
            <w:vMerge w:val="continue"/>
            <w:textDirection w:val="btLr"/>
            <w:noWrap w:val="false"/>
          </w:tcPr>
          <w:p>
            <w:pPr>
              <w:pStyle w:val="525"/>
              <w:ind w:left="113" w:right="113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6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2021 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2022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2023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показателя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единица измерения показателя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2021 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2022 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2023 </w:t>
            </w:r>
            <w:r/>
          </w:p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год</w:t>
            </w:r>
            <w:r/>
          </w:p>
        </w:tc>
      </w:tr>
      <w:tr>
        <w:trPr>
          <w:cantSplit/>
          <w:trHeight w:val="1533"/>
        </w:trPr>
        <w:tc>
          <w:tcPr>
            <w:shd w:val="clear" w:color="auto" w:fill="auto"/>
            <w:tcW w:w="429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1.</w:t>
            </w:r>
            <w:r/>
          </w:p>
        </w:tc>
        <w:tc>
          <w:tcPr>
            <w:shd w:val="clear" w:color="auto" w:fill="auto"/>
            <w:tcW w:w="1636" w:type="dxa"/>
            <w:vMerge w:val="restart"/>
            <w:textDirection w:val="lrTb"/>
            <w:noWrap w:val="false"/>
          </w:tcPr>
          <w:p>
            <w:pPr>
              <w:pStyle w:val="525"/>
              <w:ind w:hanging="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Организация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и проведение мероприятий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по оказанию государственной поддержки молодежным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детским общественным объединениям</w:t>
            </w:r>
            <w:r/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ind w:firstLine="0"/>
              <w:widowControl w:val="off"/>
              <w:rPr>
                <w:rFonts w:ascii="PT Astra Serif" w:hAnsi="PT Astra Serif"/>
                <w:i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Организация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и проведение Областного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конкурс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а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программ молодежных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и детских общественных объединений</w:t>
            </w:r>
            <w:r>
              <w:rPr>
                <w:rFonts w:ascii="PT Astra Serif" w:hAnsi="PT Astra Serif"/>
                <w:sz w:val="18"/>
                <w:szCs w:val="18"/>
              </w:rPr>
              <w:t xml:space="preserve">.</w:t>
            </w:r>
            <w:r>
              <w:rPr>
                <w:rFonts w:ascii="PT Astra Serif" w:hAnsi="PT Astra Serif"/>
                <w:iCs/>
                <w:sz w:val="18"/>
                <w:szCs w:val="18"/>
              </w:rPr>
              <w:t xml:space="preserve"> </w:t>
            </w:r>
            <w:r/>
          </w:p>
          <w:p>
            <w:pPr>
              <w:ind w:firstLine="0"/>
              <w:widowControl w:val="off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iCs/>
                <w:sz w:val="18"/>
                <w:szCs w:val="18"/>
              </w:rPr>
              <w:t xml:space="preserve">Формирование областного реестра молодежных</w:t>
            </w:r>
            <w:r>
              <w:rPr>
                <w:rFonts w:ascii="PT Astra Serif" w:hAnsi="PT Astra Serif"/>
                <w:iCs/>
                <w:sz w:val="18"/>
                <w:szCs w:val="18"/>
              </w:rPr>
              <w:br/>
            </w:r>
            <w:r>
              <w:rPr>
                <w:rFonts w:ascii="PT Astra Serif" w:hAnsi="PT Astra Serif"/>
                <w:iCs/>
                <w:sz w:val="18"/>
                <w:szCs w:val="18"/>
              </w:rPr>
              <w:t xml:space="preserve">и детских общественных объединений, пользующихся государственной поддержкой.</w:t>
            </w:r>
            <w:r/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01.2021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pStyle w:val="525"/>
              <w:ind w:left="-70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12.202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  <w:tc>
          <w:tcPr>
            <w:shd w:val="clear" w:color="auto" w:fill="auto"/>
            <w:tcW w:w="709" w:type="dxa"/>
            <w:vAlign w:val="center"/>
            <w:vMerge w:val="restart"/>
            <w:textDirection w:val="btLr"/>
            <w:noWrap w:val="false"/>
          </w:tcPr>
          <w:p>
            <w:pPr>
              <w:pStyle w:val="525"/>
              <w:ind w:left="113" w:right="113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Департамент по молодежной политике, физической культуре и спорту Томской области (далее - ДМПФКС Томской области)</w:t>
            </w:r>
            <w:r/>
          </w:p>
        </w:tc>
        <w:tc>
          <w:tcPr>
            <w:shd w:val="clear" w:color="auto" w:fill="auto"/>
            <w:tcW w:w="992" w:type="dxa"/>
            <w:vMerge w:val="restart"/>
            <w:textDirection w:val="btLr"/>
            <w:noWrap w:val="false"/>
          </w:tcPr>
          <w:p>
            <w:pPr>
              <w:pStyle w:val="525"/>
              <w:ind w:left="113" w:right="113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0707 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0846200910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  630</w:t>
            </w:r>
            <w:r/>
          </w:p>
        </w:tc>
        <w:tc>
          <w:tcPr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3 000,0 </w:t>
            </w:r>
            <w:r/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3 000,0</w:t>
            </w:r>
            <w:r/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3 000,0</w:t>
            </w:r>
            <w:r/>
          </w:p>
        </w:tc>
        <w:tc>
          <w:tcPr>
            <w:shd w:val="clear" w:color="auto" w:fill="auto"/>
            <w:tcW w:w="2409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оказатель объема:</w:t>
            </w:r>
            <w:r/>
          </w:p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количество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молодежных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 и детских общественных объединений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, включенных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областной реестр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молодежных и детских общественных объединений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, пользующихся государственной поддержкой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единиц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7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37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8</w:t>
            </w:r>
            <w:r/>
          </w:p>
        </w:tc>
      </w:tr>
      <w:tr>
        <w:trPr>
          <w:cantSplit/>
          <w:trHeight w:val="1745"/>
        </w:trPr>
        <w:tc>
          <w:tcPr>
            <w:tcW w:w="429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shd w:val="clear" w:color="auto" w:fill="FFFF00"/>
            <w:tcW w:w="1636" w:type="dxa"/>
            <w:vMerge w:val="continue"/>
            <w:textDirection w:val="lrTb"/>
            <w:noWrap w:val="false"/>
          </w:tcPr>
          <w:p>
            <w:pPr>
              <w:pStyle w:val="525"/>
              <w:ind w:hanging="25"/>
              <w:widowControl/>
              <w:rPr>
                <w:rFonts w:ascii="PT Astra Serif" w:hAnsi="PT Astra Serif" w:cs="Times New Roman"/>
                <w:bCs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pStyle w:val="525"/>
              <w:ind w:left="-70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709" w:type="dxa"/>
            <w:vAlign w:val="center"/>
            <w:vMerge w:val="continue"/>
            <w:textDirection w:val="btLr"/>
            <w:noWrap w:val="false"/>
          </w:tcPr>
          <w:p>
            <w:pPr>
              <w:pStyle w:val="525"/>
              <w:ind w:left="113" w:right="113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992" w:type="dxa"/>
            <w:vMerge w:val="continue"/>
            <w:textDirection w:val="btLr"/>
            <w:noWrap w:val="false"/>
          </w:tcPr>
          <w:p>
            <w:pPr>
              <w:pStyle w:val="525"/>
              <w:ind w:left="113" w:right="113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60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Показатель,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качества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: </w:t>
            </w:r>
            <w:r/>
          </w:p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количество участников программ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молодежных </w:t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и детских общественных объединений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человек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15 00</w:t>
            </w:r>
            <w:r>
              <w:rPr>
                <w:rFonts w:ascii="PT Astra Serif" w:hAnsi="PT Astra Serif"/>
                <w:sz w:val="20"/>
              </w:rPr>
              <w:t xml:space="preserve">0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15 000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  <w:t xml:space="preserve">5 000</w:t>
            </w:r>
            <w:r/>
          </w:p>
        </w:tc>
      </w:tr>
      <w:tr>
        <w:trPr>
          <w:cantSplit/>
          <w:trHeight w:val="1412"/>
        </w:trPr>
        <w:tc>
          <w:tcPr>
            <w:tcW w:w="429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2.</w:t>
            </w:r>
            <w:r/>
          </w:p>
        </w:tc>
        <w:tc>
          <w:tcPr>
            <w:tcW w:w="1636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Обеспечение развития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добровольчества (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волонтерства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)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в Томской области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Функционирование ресурсного центра развития добровольчества Томской области «#Бумеранг Добра70»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01.2021</w:t>
            </w:r>
            <w:r/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pStyle w:val="525"/>
              <w:ind w:left="-70" w:right="-70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12.</w:t>
            </w:r>
            <w:r/>
          </w:p>
          <w:p>
            <w:pPr>
              <w:pStyle w:val="525"/>
              <w:ind w:left="-70" w:right="-70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2023</w:t>
            </w:r>
            <w:r/>
          </w:p>
        </w:tc>
        <w:tc>
          <w:tcPr>
            <w:tcW w:w="709" w:type="dxa"/>
            <w:vAlign w:val="center"/>
            <w:vMerge w:val="restart"/>
            <w:textDirection w:val="btLr"/>
            <w:noWrap w:val="false"/>
          </w:tcPr>
          <w:p>
            <w:pPr>
              <w:pStyle w:val="525"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ОГАУ</w:t>
            </w:r>
            <w:r>
              <w:rPr>
                <w:rStyle w:val="532"/>
                <w:rFonts w:ascii="PT Astra Serif" w:hAnsi="PT Astra Serif" w:cs="Times New Roman"/>
                <w:sz w:val="18"/>
                <w:szCs w:val="18"/>
              </w:rPr>
              <w:footnoteReference w:id="1"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«Центр спортивной подготовки сборных команд Томской области»</w:t>
            </w:r>
            <w:r/>
          </w:p>
        </w:tc>
        <w:tc>
          <w:tcPr>
            <w:tcW w:w="992" w:type="dxa"/>
            <w:vMerge w:val="restart"/>
            <w:textDirection w:val="btLr"/>
            <w:noWrap w:val="false"/>
          </w:tcPr>
          <w:p>
            <w:pPr>
              <w:pStyle w:val="525"/>
              <w:ind w:left="113" w:right="113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0707  08462 02860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620</w:t>
            </w:r>
            <w:r/>
          </w:p>
        </w:tc>
        <w:tc>
          <w:tcPr>
            <w:tcW w:w="860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4 500,0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0,0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0,0</w:t>
            </w:r>
            <w:r/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Показатель объема: количество центров ресурсных центров, реализующих мероприятия, направленные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на развитие добровольчества (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волонтерства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)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1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-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-</w:t>
            </w:r>
            <w:r/>
          </w:p>
        </w:tc>
      </w:tr>
      <w:tr>
        <w:trPr>
          <w:cantSplit/>
          <w:trHeight w:val="1412"/>
        </w:trPr>
        <w:tc>
          <w:tcPr>
            <w:tcW w:w="429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1636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pStyle w:val="525"/>
              <w:ind w:right="-70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709" w:type="dxa"/>
            <w:vAlign w:val="center"/>
            <w:vMerge w:val="continue"/>
            <w:textDirection w:val="btLr"/>
            <w:noWrap w:val="false"/>
          </w:tcPr>
          <w:p>
            <w:pPr>
              <w:pStyle w:val="525"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992" w:type="dxa"/>
            <w:vMerge w:val="continue"/>
            <w:textDirection w:val="btLr"/>
            <w:noWrap w:val="false"/>
          </w:tcPr>
          <w:p>
            <w:pPr>
              <w:pStyle w:val="525"/>
              <w:ind w:left="113" w:right="113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60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Показатель качества: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количество человек (от 14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до 35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лет), вовлеченных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доброброльческую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(волонтерскую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)д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еятельность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человек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3 500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-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-</w:t>
            </w:r>
            <w:r/>
          </w:p>
        </w:tc>
      </w:tr>
      <w:tr>
        <w:trPr>
          <w:cantSplit/>
          <w:trHeight w:val="3363"/>
        </w:trPr>
        <w:tc>
          <w:tcPr>
            <w:tcW w:w="429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3.</w:t>
            </w:r>
            <w:r/>
          </w:p>
        </w:tc>
        <w:tc>
          <w:tcPr>
            <w:tcW w:w="1636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Оказание государственных услуг (выполнение государственных работ) в сфере развития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и реализации потенциала молодежи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 в интересах области областными государственными учреждениями, подведомственными субъекту бюджетного планирования,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в соответствии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с государственным заданием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Оказание ОГАУ «Центр спортивной подготовки сборных команд Томской области» государственных работ в сфере молодежной политики, указанных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приложении к ВЦП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01.2021 </w:t>
            </w:r>
            <w:r/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pStyle w:val="525"/>
              <w:ind w:left="-70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12.2023</w:t>
            </w:r>
            <w:r/>
          </w:p>
        </w:tc>
        <w:tc>
          <w:tcPr>
            <w:tcW w:w="709" w:type="dxa"/>
            <w:vAlign w:val="center"/>
            <w:vMerge w:val="restart"/>
            <w:textDirection w:val="btLr"/>
            <w:noWrap w:val="false"/>
          </w:tcPr>
          <w:p>
            <w:pPr>
              <w:pStyle w:val="525"/>
              <w:ind w:left="113" w:right="113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ОГАУ «Центр спортивной подготовки сборных команд Томской области»</w:t>
            </w:r>
            <w:r/>
          </w:p>
        </w:tc>
        <w:tc>
          <w:tcPr>
            <w:tcW w:w="992" w:type="dxa"/>
            <w:vMerge w:val="restart"/>
            <w:textDirection w:val="btLr"/>
            <w:noWrap w:val="false"/>
          </w:tcPr>
          <w:p>
            <w:pPr>
              <w:pStyle w:val="525"/>
              <w:ind w:left="113" w:right="113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0707 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0846203010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 620</w:t>
            </w:r>
            <w:r/>
          </w:p>
        </w:tc>
        <w:tc>
          <w:tcPr>
            <w:tcW w:w="860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27 795,6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27 795,6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27 795,6</w:t>
            </w:r>
            <w:r/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Показатель объема: количество государственных услуг (работ), выполненных в полном объеме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</w:tr>
      <w:tr>
        <w:trPr>
          <w:cantSplit/>
          <w:trHeight w:val="2569"/>
        </w:trPr>
        <w:tc>
          <w:tcPr>
            <w:tcW w:w="429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1636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pStyle w:val="525"/>
              <w:ind w:right="-70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60" w:type="dxa"/>
            <w:vMerge w:val="continue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Показатель качества: количество областных государственных учреждений, выполнивших государственное задание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в полном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объеме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единиц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1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1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1</w:t>
            </w:r>
            <w:r/>
          </w:p>
        </w:tc>
      </w:tr>
      <w:tr>
        <w:trPr>
          <w:cantSplit/>
          <w:trHeight w:val="240"/>
        </w:trPr>
        <w:tc>
          <w:tcPr>
            <w:tcW w:w="429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1636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ИТОГО: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6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35 295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,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6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30 795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,6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30 795,6</w:t>
            </w:r>
            <w:r/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</w:tr>
    </w:tbl>
    <w:p>
      <w:pPr>
        <w:ind w:right="-2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0"/>
        </w:rPr>
        <w:br w:type="page"/>
      </w:r>
      <w:r>
        <w:rPr>
          <w:rFonts w:ascii="PT Astra Serif" w:hAnsi="PT Astra Serif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П</w:t>
      </w:r>
      <w:r>
        <w:rPr>
          <w:rFonts w:ascii="PT Astra Serif" w:hAnsi="PT Astra Serif"/>
          <w:sz w:val="24"/>
          <w:szCs w:val="24"/>
        </w:rPr>
        <w:t xml:space="preserve">риложение</w:t>
      </w:r>
      <w:r>
        <w:rPr>
          <w:rFonts w:ascii="PT Astra Serif" w:hAnsi="PT Astra Serif"/>
          <w:sz w:val="24"/>
          <w:szCs w:val="24"/>
        </w:rPr>
        <w:t xml:space="preserve"> </w:t>
      </w:r>
      <w:r/>
    </w:p>
    <w:p>
      <w:pPr>
        <w:ind w:left="10490" w:right="-2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ведомственной целевой программе «Развитие и реализация потенциала </w:t>
      </w:r>
      <w:r>
        <w:rPr>
          <w:rFonts w:ascii="PT Astra Serif" w:hAnsi="PT Astra Serif"/>
          <w:sz w:val="24"/>
          <w:szCs w:val="24"/>
        </w:rPr>
        <w:t xml:space="preserve">молодежи в интересах области»</w:t>
      </w:r>
      <w:r/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Сводная информация об объемах государственных услуг (работ), оказываемых (выполняемых) </w:t>
      </w:r>
      <w:r>
        <w:rPr>
          <w:rFonts w:ascii="PT Astra Serif" w:hAnsi="PT Astra Serif"/>
          <w:sz w:val="24"/>
          <w:szCs w:val="24"/>
        </w:rPr>
        <w:t xml:space="preserve">областными</w:t>
      </w:r>
      <w:r>
        <w:rPr>
          <w:rFonts w:ascii="PT Astra Serif" w:hAnsi="PT Astra Serif"/>
          <w:sz w:val="24"/>
          <w:szCs w:val="24"/>
        </w:rPr>
        <w:t xml:space="preserve"> государственными </w:t>
      </w:r>
      <w:r/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учреждениями в соответствии с государственным заданием, в рамках реализации ведомственной целевой программы </w:t>
      </w:r>
      <w:r/>
    </w:p>
    <w:p>
      <w:pPr>
        <w:jc w:val="center"/>
        <w:spacing w:after="120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  <w:t xml:space="preserve">«Развитие и реализация потенциала молодежи в интересах области» </w:t>
      </w:r>
      <w:r/>
    </w:p>
    <w:tbl>
      <w:tblPr>
        <w:tblW w:w="15735" w:type="dxa"/>
        <w:tblInd w:w="-459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984"/>
        <w:gridCol w:w="1701"/>
        <w:gridCol w:w="2127"/>
        <w:gridCol w:w="1842"/>
        <w:gridCol w:w="851"/>
        <w:gridCol w:w="850"/>
        <w:gridCol w:w="851"/>
        <w:gridCol w:w="992"/>
        <w:gridCol w:w="992"/>
        <w:gridCol w:w="993"/>
      </w:tblGrid>
      <w:tr>
        <w:trPr>
          <w:trHeight w:val="671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п</w:t>
            </w:r>
            <w:r>
              <w:rPr>
                <w:rFonts w:ascii="PT Astra Serif" w:hAnsi="PT Astra Serif"/>
                <w:sz w:val="18"/>
                <w:szCs w:val="18"/>
              </w:rPr>
              <w:t xml:space="preserve">/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п</w:t>
            </w:r>
            <w:r/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Наименование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государственной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/>
          </w:p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услуги (работы)</w:t>
            </w:r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Содержание государственной услуги (работы)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Условия оказания государственной услуги (выполнения работы)</w:t>
            </w:r>
            <w:r/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Областные государственные учреждения, оказывающие государственную услугу (выполняющие работу)</w:t>
            </w:r>
            <w:r/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Наименование </w:t>
            </w:r>
            <w:r>
              <w:rPr>
                <w:rFonts w:ascii="PT Astra Serif" w:hAnsi="PT Astra Serif" w:eastAsia="Calibri"/>
                <w:sz w:val="18"/>
                <w:szCs w:val="18"/>
              </w:rPr>
              <w:br/>
            </w:r>
            <w:r>
              <w:rPr>
                <w:rFonts w:ascii="PT Astra Serif" w:hAnsi="PT Astra Serif" w:eastAsia="Calibri"/>
                <w:sz w:val="18"/>
                <w:szCs w:val="18"/>
              </w:rPr>
              <w:t xml:space="preserve">и единица измерения показателей объема государственной услуги (работы)</w:t>
            </w:r>
            <w:r/>
          </w:p>
        </w:tc>
        <w:tc>
          <w:tcPr>
            <w:gridSpan w:val="3"/>
            <w:tcW w:w="2552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Значения показателя объема государственной услуги (работы)</w:t>
            </w:r>
            <w:r/>
          </w:p>
        </w:tc>
        <w:tc>
          <w:tcPr>
            <w:gridSpan w:val="3"/>
            <w:tcW w:w="2977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Объем бюджетных ассигнований </w:t>
            </w:r>
            <w:r/>
          </w:p>
          <w:p>
            <w:pPr>
              <w:ind w:firstLine="0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(тыс. руб.) </w:t>
            </w:r>
            <w:r/>
          </w:p>
        </w:tc>
      </w:tr>
      <w:tr>
        <w:trPr>
          <w:trHeight w:val="315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</w:r>
            <w:r/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</w:r>
            <w:r/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</w:r>
            <w:r/>
          </w:p>
        </w:tc>
        <w:tc>
          <w:tcPr>
            <w:tcW w:w="184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2021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год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2022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год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</w:t>
            </w:r>
            <w:r>
              <w:rPr>
                <w:rFonts w:ascii="PT Astra Serif" w:hAnsi="PT Astra Serif"/>
                <w:sz w:val="18"/>
                <w:szCs w:val="18"/>
              </w:rPr>
              <w:t xml:space="preserve">3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год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2021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/>
          </w:p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2022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/>
          </w:p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</w:t>
            </w:r>
            <w:r>
              <w:rPr>
                <w:rFonts w:ascii="PT Astra Serif" w:hAnsi="PT Astra Serif"/>
                <w:sz w:val="18"/>
                <w:szCs w:val="18"/>
              </w:rPr>
              <w:t xml:space="preserve">3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/>
          </w:p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</w:tr>
      <w:tr>
        <w:trPr/>
        <w:tc>
          <w:tcPr>
            <w:gridSpan w:val="12"/>
            <w:tcBorders>
              <w:bottom w:val="single" w:sz="4" w:space="0" w:color="auto"/>
            </w:tcBorders>
            <w:tcW w:w="15735" w:type="dxa"/>
            <w:textDirection w:val="lrTb"/>
            <w:noWrap w:val="false"/>
          </w:tcPr>
          <w:p>
            <w:pPr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Государственные работы</w:t>
            </w:r>
            <w:r/>
          </w:p>
        </w:tc>
      </w:tr>
      <w:tr>
        <w:trPr>
          <w:trHeight w:val="2037"/>
        </w:trPr>
        <w:tc>
          <w:tcPr>
            <w:tcBorders>
              <w:bottom w:val="single" w:sz="4" w:space="0" w:color="auto"/>
            </w:tcBorders>
            <w:tcW w:w="567" w:type="dxa"/>
            <w:vMerge w:val="restart"/>
            <w:textDirection w:val="lrTb"/>
            <w:noWrap w:val="false"/>
          </w:tcPr>
          <w:p>
            <w:pPr>
              <w:ind w:right="-108"/>
              <w:jc w:val="center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  <w:p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1.</w:t>
            </w:r>
            <w:r/>
          </w:p>
        </w:tc>
        <w:tc>
          <w:tcPr>
            <w:tcBorders>
              <w:bottom w:val="single" w:sz="4" w:space="0" w:color="auto"/>
            </w:tcBorders>
            <w:tcW w:w="1985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Организация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 w:eastAsia="Calibri"/>
                <w:sz w:val="18"/>
                <w:szCs w:val="18"/>
              </w:rPr>
              <w:t xml:space="preserve">и проведение областных</w:t>
            </w:r>
            <w:r>
              <w:rPr>
                <w:rFonts w:ascii="PT Astra Serif" w:hAnsi="PT Astra Serif" w:eastAsia="Calibri"/>
                <w:sz w:val="18"/>
                <w:szCs w:val="18"/>
              </w:rPr>
              <w:br/>
            </w:r>
            <w:r>
              <w:rPr>
                <w:rFonts w:ascii="PT Astra Serif" w:hAnsi="PT Astra Serif" w:eastAsia="Calibri"/>
                <w:sz w:val="18"/>
                <w:szCs w:val="18"/>
              </w:rPr>
              <w:t xml:space="preserve">и межмуниципальных мероприятий </w:t>
            </w:r>
            <w:r>
              <w:rPr>
                <w:rFonts w:ascii="PT Astra Serif" w:hAnsi="PT Astra Serif" w:eastAsia="Calibri"/>
                <w:sz w:val="18"/>
                <w:szCs w:val="18"/>
              </w:rPr>
              <w:br/>
            </w:r>
            <w:r>
              <w:rPr>
                <w:rFonts w:ascii="PT Astra Serif" w:hAnsi="PT Astra Serif" w:eastAsia="Calibri"/>
                <w:sz w:val="18"/>
                <w:szCs w:val="18"/>
              </w:rPr>
              <w:t xml:space="preserve">по работе с детьми </w:t>
            </w:r>
            <w:r>
              <w:rPr>
                <w:rFonts w:ascii="PT Astra Serif" w:hAnsi="PT Astra Serif" w:eastAsia="Calibri"/>
                <w:sz w:val="18"/>
                <w:szCs w:val="18"/>
              </w:rPr>
              <w:br/>
            </w:r>
            <w:r>
              <w:rPr>
                <w:rFonts w:ascii="PT Astra Serif" w:hAnsi="PT Astra Serif" w:eastAsia="Calibri"/>
                <w:sz w:val="18"/>
                <w:szCs w:val="18"/>
              </w:rPr>
              <w:t xml:space="preserve">и молодежью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/>
          </w:p>
        </w:tc>
        <w:tc>
          <w:tcPr>
            <w:tcBorders>
              <w:bottom w:val="single" w:sz="4" w:space="0" w:color="auto"/>
            </w:tcBorders>
            <w:tcW w:w="1984" w:type="dxa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Организация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и про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ведение фестивалей, конкурсов,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смотров, выставок, конференций, форумов и иных мероприятий, направленных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на: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развитие предпринимательской деятельности;</w:t>
            </w:r>
            <w:r/>
          </w:p>
          <w:p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поддержку молодежи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в сфере труда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и занятости;</w:t>
            </w:r>
            <w:r/>
          </w:p>
          <w:p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поддержку талантливой молодежи; </w:t>
            </w:r>
            <w:r/>
          </w:p>
          <w:p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патриотическое воспитание, профилактику межэтнических конфликтов; формирование здорового образа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жизни;</w:t>
            </w:r>
            <w:r/>
          </w:p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социальную адаптацию, профилактику безнадзорности, правонарушений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и экстремизма</w:t>
            </w:r>
            <w:r/>
          </w:p>
        </w:tc>
        <w:tc>
          <w:tcPr>
            <w:tcBorders>
              <w:bottom w:val="single" w:sz="4" w:space="0" w:color="auto"/>
            </w:tcBorders>
            <w:tcW w:w="1701" w:type="dxa"/>
            <w:vMerge w:val="restart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соответствии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 Календарным планом мероприятий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сфере государственной молодежной политики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Томской области</w:t>
            </w:r>
            <w:r/>
          </w:p>
        </w:tc>
        <w:tc>
          <w:tcPr>
            <w:tcBorders>
              <w:bottom w:val="single" w:sz="4" w:space="0" w:color="auto"/>
            </w:tcBorders>
            <w:tcW w:w="2127" w:type="dxa"/>
            <w:vMerge w:val="restart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ОГАУ «Центр спортивной подготовки сборных команд Томской области»</w:t>
            </w:r>
            <w:r/>
          </w:p>
        </w:tc>
        <w:tc>
          <w:tcPr>
            <w:tcBorders>
              <w:bottom w:val="single" w:sz="4" w:space="0" w:color="auto"/>
            </w:tcBorders>
            <w:tcW w:w="1842" w:type="dxa"/>
            <w:vMerge w:val="restart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мероприятий, (единиц)</w:t>
            </w:r>
            <w:r/>
          </w:p>
        </w:tc>
        <w:tc>
          <w:tcPr>
            <w:tcBorders>
              <w:bottom w:val="single" w:sz="4" w:space="0" w:color="auto"/>
            </w:tcBorders>
            <w:tcW w:w="851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</w:t>
            </w:r>
            <w:r/>
          </w:p>
        </w:tc>
        <w:tc>
          <w:tcPr>
            <w:tcBorders>
              <w:right w:val="single" w:sz="4" w:space="0" w:color="auto"/>
              <w:bottom w:val="single" w:sz="4" w:space="0" w:color="auto"/>
            </w:tcBorders>
            <w:tcW w:w="850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none" w:color="000000" w:sz="4" w:space="0"/>
            </w:tcBorders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  <w:tc>
          <w:tcPr>
            <w:tcBorders>
              <w:left w:val="single" w:sz="4" w:space="0" w:color="auto"/>
              <w:bottom w:val="single" w:sz="4" w:space="0" w:color="auto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21 381,32</w:t>
            </w:r>
            <w:r/>
          </w:p>
        </w:tc>
        <w:tc>
          <w:tcPr>
            <w:tcBorders>
              <w:bottom w:val="single" w:sz="4" w:space="0" w:color="auto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525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21 381,32</w:t>
            </w:r>
            <w:r/>
          </w:p>
        </w:tc>
        <w:tc>
          <w:tcPr>
            <w:tcBorders>
              <w:bottom w:val="single" w:sz="4" w:space="0" w:color="auto"/>
            </w:tcBorders>
            <w:tcW w:w="993" w:type="dxa"/>
            <w:vMerge w:val="restart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21 381,32</w:t>
            </w:r>
            <w:r/>
          </w:p>
        </w:tc>
      </w:tr>
      <w:tr>
        <w:trPr>
          <w:trHeight w:val="1684"/>
        </w:trPr>
        <w:tc>
          <w:tcPr>
            <w:tcBorders>
              <w:top w:val="single" w:sz="4" w:space="0" w:color="auto"/>
            </w:tcBorders>
            <w:tcW w:w="567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iCs/>
                <w:sz w:val="18"/>
                <w:szCs w:val="18"/>
              </w:rPr>
            </w:pPr>
            <w:r>
              <w:rPr>
                <w:rFonts w:ascii="PT Astra Serif" w:hAnsi="PT Astra Serif" w:cs="Times New Roman"/>
                <w:iCs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iCs/>
                <w:sz w:val="18"/>
                <w:szCs w:val="18"/>
              </w:rPr>
            </w:pPr>
            <w:r>
              <w:rPr>
                <w:rFonts w:ascii="PT Astra Serif" w:hAnsi="PT Astra Serif" w:cs="Times New Roman"/>
                <w:iCs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1701" w:type="dxa"/>
            <w:vMerge w:val="continue"/>
            <w:textDirection w:val="lrTb"/>
            <w:noWrap w:val="false"/>
          </w:tcPr>
          <w:p>
            <w:pPr>
              <w:pStyle w:val="525"/>
              <w:jc w:val="both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2127" w:type="dxa"/>
            <w:vMerge w:val="continue"/>
            <w:textDirection w:val="lrTb"/>
            <w:noWrap w:val="false"/>
          </w:tcPr>
          <w:p>
            <w:pPr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851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  <w:right w:val="single" w:sz="4" w:space="0" w:color="auto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</w:tcBorders>
            <w:tcW w:w="992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992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Borders>
              <w:top w:val="single" w:sz="4" w:space="0" w:color="auto"/>
            </w:tcBorders>
            <w:tcW w:w="993" w:type="dxa"/>
            <w:vMerge w:val="continue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</w:tr>
      <w:tr>
        <w:trPr>
          <w:trHeight w:val="2979"/>
        </w:trPr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</w:t>
            </w:r>
            <w:r>
              <w:rPr>
                <w:rFonts w:ascii="PT Astra Serif" w:hAnsi="PT Astra Serif"/>
                <w:sz w:val="18"/>
                <w:szCs w:val="18"/>
              </w:rPr>
              <w:t xml:space="preserve">2</w:t>
            </w:r>
            <w:r>
              <w:rPr>
                <w:rFonts w:ascii="PT Astra Serif" w:hAnsi="PT Astra Serif"/>
                <w:sz w:val="18"/>
                <w:szCs w:val="18"/>
              </w:rPr>
              <w:t xml:space="preserve">.</w:t>
            </w:r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t xml:space="preserve">Обеспечение участия представителей молодежи </w:t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t xml:space="preserve">в межрегиональных, всероссийских </w:t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t xml:space="preserve">и международных мероприятиях в сфере государственной молодежной политики</w:t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Организация проезда до места проведения мероприятия, оплата организационного взноса, приобретение инвентаря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и экипировки, проведение тренировочных зан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ятий, транспортное обслуживание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соответствии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с Календарным планом мероприятий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сфере государственной молодежной политики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Томской области</w:t>
            </w:r>
            <w:r/>
          </w:p>
        </w:tc>
        <w:tc>
          <w:tcPr>
            <w:tcW w:w="2127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ОГАУ «Центр спортивной подготовки сборных команд Томской области»</w:t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мероприятий, единиц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4</w:t>
            </w:r>
            <w:r/>
          </w:p>
        </w:tc>
        <w:tc>
          <w:tcPr>
            <w:tcBorders>
              <w:top w:val="single" w:sz="4" w:space="0" w:color="auto"/>
            </w:tcBorders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4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bCs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4 734,55</w:t>
            </w:r>
            <w:r/>
          </w:p>
          <w:p>
            <w:pPr>
              <w:pStyle w:val="525"/>
              <w:jc w:val="center"/>
              <w:rPr>
                <w:rFonts w:ascii="PT Astra Serif" w:hAnsi="PT Astra Serif" w:cs="Times New Roman"/>
                <w:bCs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</w:r>
            <w:r/>
          </w:p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4 734,55</w:t>
            </w:r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4 734,55</w:t>
            </w:r>
            <w:r/>
          </w:p>
        </w:tc>
      </w:tr>
      <w:tr>
        <w:trPr>
          <w:trHeight w:val="2104"/>
        </w:trPr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3</w:t>
            </w:r>
            <w:r>
              <w:rPr>
                <w:rFonts w:ascii="PT Astra Serif" w:hAnsi="PT Astra Serif"/>
                <w:sz w:val="18"/>
                <w:szCs w:val="18"/>
              </w:rPr>
              <w:t xml:space="preserve">3</w:t>
            </w:r>
            <w:r>
              <w:rPr>
                <w:rFonts w:ascii="PT Astra Serif" w:hAnsi="PT Astra Serif"/>
                <w:sz w:val="18"/>
                <w:szCs w:val="18"/>
              </w:rPr>
              <w:t xml:space="preserve">.</w:t>
            </w:r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t xml:space="preserve">Информационное обеспечение молодежи</w:t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color w:val="000000"/>
                <w:sz w:val="18"/>
                <w:szCs w:val="18"/>
              </w:rPr>
              <w:t xml:space="preserve">и государственной молодежной политики</w:t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Организация подготовки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и распространения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на территории Томской области целевой информации для молодежи 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525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соответствии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с Календарным планом мероприятий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сфере государственной молодежной политики </w:t>
            </w:r>
            <w:r>
              <w:rPr>
                <w:rFonts w:ascii="PT Astra Serif" w:hAnsi="PT Astra Serif" w:cs="Times New Roman"/>
                <w:sz w:val="18"/>
                <w:szCs w:val="18"/>
              </w:rPr>
              <w:br/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 Томской области</w:t>
            </w:r>
            <w:r/>
          </w:p>
        </w:tc>
        <w:tc>
          <w:tcPr>
            <w:tcW w:w="2127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ОГАУ «Центр спортивной подготовки сборных команд Томской области»</w:t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ind w:firstLine="0"/>
              <w:tabs>
                <w:tab w:val="left" w:pos="8647" w:leader="none"/>
              </w:tabs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информационных материалов (единиц наименований полиграфической продукции)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525"/>
              <w:jc w:val="center"/>
              <w:widowControl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3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1 679,73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1 679,73</w:t>
            </w:r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bCs/>
                <w:sz w:val="18"/>
                <w:szCs w:val="18"/>
              </w:rPr>
              <w:t xml:space="preserve">1 679,73</w:t>
            </w:r>
            <w:r/>
          </w:p>
        </w:tc>
      </w:tr>
      <w:tr>
        <w:trPr>
          <w:trHeight w:val="450"/>
        </w:trPr>
        <w:tc>
          <w:tcPr>
            <w:gridSpan w:val="9"/>
            <w:tcW w:w="127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0,0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0,0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</w:t>
            </w:r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0,0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</w:t>
            </w:r>
            <w:r/>
          </w:p>
        </w:tc>
      </w:tr>
      <w:tr>
        <w:trPr>
          <w:trHeight w:val="450"/>
        </w:trPr>
        <w:tc>
          <w:tcPr>
            <w:gridSpan w:val="9"/>
            <w:tcW w:w="127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18"/>
                <w:szCs w:val="18"/>
              </w:rPr>
            </w:pPr>
            <w:r>
              <w:rPr>
                <w:rFonts w:ascii="PT Astra Serif" w:hAnsi="PT Astra Serif" w:eastAsia="Calibri"/>
                <w:sz w:val="18"/>
                <w:szCs w:val="18"/>
              </w:rPr>
              <w:t xml:space="preserve">ИТОГО: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27 795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,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6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27 795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,6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</w:t>
            </w:r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525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27 795,6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0</w:t>
            </w:r>
            <w:r/>
          </w:p>
        </w:tc>
      </w:tr>
    </w:tbl>
    <w:p>
      <w:r/>
      <w:r/>
      <w:r/>
    </w:p>
    <w:p>
      <w:pPr>
        <w:ind w:firstLine="0"/>
        <w:rPr>
          <w:rFonts w:ascii="PT Astra Serif" w:hAnsi="PT Astra Serif"/>
        </w:rPr>
        <w:outlineLvl w:val="1"/>
      </w:pPr>
      <w:r>
        <w:rPr>
          <w:rFonts w:ascii="PT Astra Serif" w:hAnsi="PT Astra Serif"/>
        </w:rPr>
      </w:r>
      <w: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524288" behindDoc="1" locked="0" layoutInCell="1" allowOverlap="1">
                <wp:simplePos x="0" y="0"/>
                <wp:positionH relativeFrom="column">
                  <wp:posOffset>7828280</wp:posOffset>
                </wp:positionH>
                <wp:positionV relativeFrom="paragraph">
                  <wp:posOffset>211339</wp:posOffset>
                </wp:positionV>
                <wp:extent cx="1563370" cy="1550670"/>
                <wp:effectExtent l="0" t="0" r="0" b="0"/>
                <wp:wrapNone/>
                <wp:docPr id="3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563365" cy="15506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524288;o:allowoverlap:true;o:allowincell:true;mso-position-horizontal-relative:text;margin-left:616.4pt;mso-position-horizontal:absolute;mso-position-vertical-relative:text;margin-top:16.6pt;mso-position-vertical:absolute;width:123.1pt;height:122.1pt;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/>
        </w:rPr>
      </w:r>
      <w:r/>
    </w:p>
    <w:sectPr>
      <w:headerReference w:type="default" r:id="rId11"/>
      <w:footnotePr/>
      <w:type w:val="nextPage"/>
      <w:pgSz w:w="16840" w:h="11906" w:orient="landscape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 Unicode MS">
    <w:panose1 w:val="020B06040202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1">
    <w:p>
      <w:pPr>
        <w:pStyle w:val="530"/>
      </w:pPr>
      <w:r>
        <w:rPr>
          <w:rStyle w:val="532"/>
        </w:rPr>
        <w:footnoteRef/>
      </w:r>
      <w:r>
        <w:t xml:space="preserve"> ОГАУ – областное государственное автономное учреждение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33321121"/>
      <w:docPartObj>
        <w:docPartGallery w:val="Page Numbers (Top of Page)"/>
        <w:docPartUnique w:val="true"/>
      </w:docPartObj>
      <w:rPr/>
    </w:sdtPr>
    <w:sdtContent>
      <w:p>
        <w:pPr>
          <w:pStyle w:val="498"/>
        </w:pPr>
        <w:r>
          <w:rPr>
            <w:b w:val="false"/>
            <w:sz w:val="24"/>
            <w:szCs w:val="24"/>
          </w:rPr>
          <w:fldChar w:fldCharType="begin"/>
        </w:r>
        <w:r>
          <w:rPr>
            <w:b w:val="false"/>
            <w:sz w:val="24"/>
            <w:szCs w:val="24"/>
          </w:rPr>
          <w:instrText xml:space="preserve"> PAGE   \* MERGEFORMAT </w:instrText>
        </w:r>
        <w:r>
          <w:rPr>
            <w:b w:val="false"/>
            <w:sz w:val="24"/>
            <w:szCs w:val="24"/>
          </w:rPr>
          <w:fldChar w:fldCharType="separate"/>
        </w:r>
        <w:r>
          <w:rPr>
            <w:b w:val="false"/>
            <w:sz w:val="24"/>
            <w:szCs w:val="24"/>
          </w:rPr>
          <w:t xml:space="preserve">2</w:t>
        </w:r>
        <w:r>
          <w:rPr>
            <w:b w:val="false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98"/>
      <w:rPr>
        <w:rStyle w:val="502"/>
      </w:rPr>
      <w:framePr w:wrap="around" w:vAnchor="text" w:hAnchor="margin" w:xAlign="center" w:y="1"/>
    </w:pPr>
    <w:r>
      <w:rPr>
        <w:rStyle w:val="502"/>
      </w:rPr>
      <w:fldChar w:fldCharType="begin"/>
    </w:r>
    <w:r>
      <w:rPr>
        <w:rStyle w:val="502"/>
      </w:rPr>
      <w:instrText xml:space="preserve">PAGE  </w:instrText>
    </w:r>
    <w:r>
      <w:rPr>
        <w:rStyle w:val="502"/>
      </w:rPr>
      <w:fldChar w:fldCharType="end"/>
    </w:r>
    <w:r/>
  </w:p>
  <w:p>
    <w:pPr>
      <w:pStyle w:val="49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</w:rPr>
    </w:pPr>
    <w:r>
      <mc:AlternateContent>
        <mc:Choice Requires="wpg">
          <w:drawing>
            <wp:anchor xmlns:wp="http://schemas.openxmlformats.org/drawingml/2006/wordprocessingDrawing" distT="0" distB="0" distL="114300" distR="114300" simplePos="0" relativeHeight="251660288" behindDoc="0" locked="0" layoutInCell="1" allowOverlap="1">
              <wp:simplePos x="0" y="0"/>
              <wp:positionH relativeFrom="column">
                <wp:posOffset>2595245</wp:posOffset>
              </wp:positionH>
              <wp:positionV relativeFrom="paragraph">
                <wp:posOffset>-85725</wp:posOffset>
              </wp:positionV>
              <wp:extent cx="799465" cy="761365"/>
              <wp:effectExtent l="19050" t="0" r="635" b="0"/>
              <wp:wrapSquare wrapText="bothSides"/>
              <wp:docPr id="1" name="Рисунок 1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Picture 1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99465" cy="7613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mso-wrap-distance-left:9.0pt;mso-wrap-distance-top:0.0pt;mso-wrap-distance-right:9.0pt;mso-wrap-distance-bottom:0.0pt;z-index:251660288;o:allowoverlap:true;o:allowincell:true;mso-position-horizontal-relative:text;margin-left:204.3pt;mso-position-horizontal:absolute;mso-position-vertical-relative:text;margin-top:-6.8pt;mso-position-vertical:absolute;width:62.9pt;height:59.9pt;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498"/>
      <w:ind w:firstLine="0"/>
      <w:jc w:val="left"/>
      <w:spacing w:after="0"/>
      <w:rPr>
        <w:sz w:val="32"/>
        <w:szCs w:val="32"/>
      </w:rPr>
    </w:pPr>
    <w:r>
      <w:rPr>
        <w:sz w:val="32"/>
        <w:szCs w:val="32"/>
      </w:rPr>
    </w:r>
    <w:r/>
  </w:p>
  <w:p>
    <w:pPr>
      <w:pStyle w:val="498"/>
      <w:ind w:firstLine="0"/>
      <w:spacing w:after="0"/>
      <w:rPr>
        <w:rFonts w:ascii="PT Astra Serif" w:hAnsi="PT Astra Serif"/>
        <w:sz w:val="32"/>
        <w:szCs w:val="32"/>
      </w:rPr>
    </w:pPr>
    <w:r>
      <w:rPr>
        <w:rFonts w:ascii="PT Astra Serif" w:hAnsi="PT Astra Serif"/>
        <w:sz w:val="32"/>
        <w:szCs w:val="32"/>
      </w:rPr>
    </w:r>
    <w:r/>
  </w:p>
  <w:p>
    <w:pPr>
      <w:pStyle w:val="498"/>
      <w:ind w:firstLine="0"/>
      <w:spacing w:after="0"/>
      <w:rPr>
        <w:rFonts w:ascii="PT Astra Serif" w:hAnsi="PT Astra Serif"/>
        <w:sz w:val="32"/>
        <w:szCs w:val="32"/>
      </w:rPr>
    </w:pPr>
    <w:r>
      <w:rPr>
        <w:rFonts w:ascii="PT Astra Serif" w:hAnsi="PT Astra Serif"/>
        <w:sz w:val="32"/>
        <w:szCs w:val="32"/>
      </w:rPr>
      <w:t xml:space="preserve">Департамент по молодежной политике, физической культуре и спорту Томской области</w:t>
    </w:r>
    <w:r/>
  </w:p>
  <w:p>
    <w:pPr>
      <w:pStyle w:val="498"/>
      <w:jc w:val="left"/>
      <w:spacing w:after="0" w:before="0"/>
      <w:rPr>
        <w:sz w:val="16"/>
      </w:rPr>
    </w:pPr>
    <w:r>
      <w:rPr>
        <w:sz w:val="16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99333292"/>
      <w:docPartObj>
        <w:docPartGallery w:val="Page Numbers (Top of Page)"/>
        <w:docPartUnique w:val="true"/>
      </w:docPartObj>
      <w:rPr/>
    </w:sdtPr>
    <w:sdtContent>
      <w:p>
        <w:pPr>
          <w:pStyle w:val="498"/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 PAGE   \* MERGEFORMAT </w:instrText>
        </w:r>
        <w:r>
          <w:rPr>
            <w:b w:val="false"/>
          </w:rPr>
          <w:fldChar w:fldCharType="separate"/>
        </w:r>
        <w:r>
          <w:rPr>
            <w:b w:val="false"/>
          </w:rPr>
          <w:t xml:space="preserve">10</w:t>
        </w:r>
        <w:r>
          <w:rPr>
            <w:b w:val="false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  <w:tabs>
          <w:tab w:val="num" w:pos="1744" w:leader="none"/>
        </w:tabs>
      </w:pPr>
      <w:rPr>
        <w:rFonts w:ascii="Times New Roman" w:hAnsi="Times New Roman" w:cs="Times New Roman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59" w:hanging="450"/>
        <w:tabs>
          <w:tab w:val="num" w:pos="11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9"/>
      <w:numFmt w:val="decimalZero"/>
      <w:isLgl w:val="false"/>
      <w:suff w:val="tab"/>
      <w:lvlText w:val="%1"/>
      <w:lvlJc w:val="left"/>
      <w:pPr>
        <w:ind w:left="7080" w:hanging="7080"/>
        <w:tabs>
          <w:tab w:val="num" w:pos="7080" w:leader="none"/>
        </w:tabs>
      </w:pPr>
      <w:rPr>
        <w:rFonts w:hint="default"/>
      </w:rPr>
    </w:lvl>
    <w:lvl w:ilvl="1">
      <w:start w:val="9"/>
      <w:numFmt w:val="decimalZero"/>
      <w:isLgl w:val="false"/>
      <w:suff w:val="tab"/>
      <w:lvlText w:val="%1.%2"/>
      <w:lvlJc w:val="left"/>
      <w:pPr>
        <w:ind w:left="7434" w:hanging="7080"/>
        <w:tabs>
          <w:tab w:val="num" w:pos="7434" w:leader="none"/>
        </w:tabs>
      </w:pPr>
      <w:rPr>
        <w:rFonts w:hint="default"/>
      </w:rPr>
    </w:lvl>
    <w:lvl w:ilvl="2">
      <w:start w:val="3"/>
      <w:numFmt w:val="decimalZero"/>
      <w:isLgl w:val="false"/>
      <w:suff w:val="tab"/>
      <w:lvlText w:val="%1.%2.%3"/>
      <w:lvlJc w:val="left"/>
      <w:pPr>
        <w:ind w:left="7788" w:hanging="7080"/>
        <w:tabs>
          <w:tab w:val="num" w:pos="778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8142" w:hanging="7080"/>
        <w:tabs>
          <w:tab w:val="num" w:pos="8142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8496" w:hanging="7080"/>
        <w:tabs>
          <w:tab w:val="num" w:pos="8496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8850" w:hanging="7080"/>
        <w:tabs>
          <w:tab w:val="num" w:pos="885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9204" w:hanging="7080"/>
        <w:tabs>
          <w:tab w:val="num" w:pos="9204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558" w:hanging="7080"/>
        <w:tabs>
          <w:tab w:val="num" w:pos="9558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912" w:hanging="7080"/>
        <w:tabs>
          <w:tab w:val="num" w:pos="9912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-"/>
      <w:lvlJc w:val="left"/>
      <w:pPr>
        <w:ind w:left="1785" w:hanging="360"/>
        <w:tabs>
          <w:tab w:val="num" w:pos="1785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69" w:hanging="960"/>
        <w:tabs>
          <w:tab w:val="num" w:pos="1669" w:leader="none"/>
        </w:tabs>
      </w:pPr>
      <w:rPr>
        <w:rFonts w:ascii="Times New Roman" w:hAnsi="Times New Roman" w:cs="Times New Roman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6" w:hanging="360"/>
        <w:tabs>
          <w:tab w:val="num" w:pos="177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6" w:hanging="360"/>
        <w:tabs>
          <w:tab w:val="num" w:pos="249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216" w:hanging="180"/>
        <w:tabs>
          <w:tab w:val="num" w:pos="321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36" w:hanging="360"/>
        <w:tabs>
          <w:tab w:val="num" w:pos="393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56" w:hanging="360"/>
        <w:tabs>
          <w:tab w:val="num" w:pos="465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76" w:hanging="180"/>
        <w:tabs>
          <w:tab w:val="num" w:pos="537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96" w:hanging="360"/>
        <w:tabs>
          <w:tab w:val="num" w:pos="609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16" w:hanging="360"/>
        <w:tabs>
          <w:tab w:val="num" w:pos="681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36" w:hanging="180"/>
        <w:tabs>
          <w:tab w:val="num" w:pos="7536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1" w:hanging="360"/>
        <w:tabs>
          <w:tab w:val="num" w:pos="391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879" w:hanging="1170"/>
        <w:tabs>
          <w:tab w:val="num" w:pos="1879" w:leader="none"/>
        </w:tabs>
      </w:pPr>
      <w:rPr>
        <w:rFonts w:hint="default"/>
      </w:rPr>
    </w:lvl>
    <w:lvl w:ilvl="2">
      <w:start w:val="1"/>
      <w:numFmt w:val="decimalZero"/>
      <w:isLgl/>
      <w:suff w:val="tab"/>
      <w:lvlText w:val="%1.%2.%3."/>
      <w:lvlJc w:val="left"/>
      <w:pPr>
        <w:ind w:left="2557" w:hanging="1170"/>
        <w:tabs>
          <w:tab w:val="num" w:pos="2557" w:leader="none"/>
        </w:tabs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235" w:hanging="1170"/>
        <w:tabs>
          <w:tab w:val="num" w:pos="3235" w:leader="none"/>
        </w:tabs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913" w:hanging="1170"/>
        <w:tabs>
          <w:tab w:val="num" w:pos="3913" w:leader="none"/>
        </w:tabs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591" w:hanging="1170"/>
        <w:tabs>
          <w:tab w:val="num" w:pos="4591" w:leader="none"/>
        </w:tabs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5269" w:hanging="1170"/>
        <w:tabs>
          <w:tab w:val="num" w:pos="5269" w:leader="none"/>
        </w:tabs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6217" w:hanging="1440"/>
        <w:tabs>
          <w:tab w:val="num" w:pos="6217" w:leader="none"/>
        </w:tabs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895" w:hanging="1440"/>
        <w:tabs>
          <w:tab w:val="num" w:pos="6895" w:leader="none"/>
        </w:tabs>
      </w:pPr>
      <w:rPr>
        <w:rFonts w:hint="default"/>
      </w:rPr>
    </w:lvl>
  </w:abstractNum>
  <w:abstractNum w:abstractNumId="1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1" w:hanging="360"/>
        <w:tabs>
          <w:tab w:val="num" w:pos="391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11" w:hanging="360"/>
        <w:tabs>
          <w:tab w:val="num" w:pos="1111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31" w:hanging="180"/>
        <w:tabs>
          <w:tab w:val="num" w:pos="1831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51" w:hanging="360"/>
        <w:tabs>
          <w:tab w:val="num" w:pos="2551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71" w:hanging="360"/>
        <w:tabs>
          <w:tab w:val="num" w:pos="3271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91" w:hanging="180"/>
        <w:tabs>
          <w:tab w:val="num" w:pos="3991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711" w:hanging="360"/>
        <w:tabs>
          <w:tab w:val="num" w:pos="4711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31" w:hanging="360"/>
        <w:tabs>
          <w:tab w:val="num" w:pos="5431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51" w:hanging="180"/>
        <w:tabs>
          <w:tab w:val="num" w:pos="6151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cs="Times New Roman" w:eastAsia="Calibr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7" w:firstLine="113"/>
        <w:tabs>
          <w:tab w:val="num" w:pos="397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0">
    <w:multiLevelType w:val="hybridMultilevel"/>
    <w:lvl w:ilvl="0">
      <w:start w:val="4"/>
      <w:numFmt w:val="decimalZero"/>
      <w:isLgl w:val="false"/>
      <w:suff w:val="tab"/>
      <w:lvlText w:val="%1"/>
      <w:lvlJc w:val="left"/>
      <w:pPr>
        <w:ind w:left="840" w:hanging="840"/>
        <w:tabs>
          <w:tab w:val="num" w:pos="840" w:leader="none"/>
        </w:tabs>
      </w:pPr>
      <w:rPr>
        <w:rFonts w:hint="default"/>
      </w:rPr>
    </w:lvl>
    <w:lvl w:ilvl="1">
      <w:start w:val="8"/>
      <w:numFmt w:val="decimalZero"/>
      <w:isLgl w:val="false"/>
      <w:suff w:val="tab"/>
      <w:lvlText w:val="%1.%2"/>
      <w:lvlJc w:val="left"/>
      <w:pPr>
        <w:ind w:left="1110" w:hanging="840"/>
        <w:tabs>
          <w:tab w:val="num" w:pos="1110" w:leader="none"/>
        </w:tabs>
      </w:pPr>
      <w:rPr>
        <w:rFonts w:hint="default"/>
      </w:rPr>
    </w:lvl>
    <w:lvl w:ilvl="2">
      <w:start w:val="3"/>
      <w:numFmt w:val="decimalZero"/>
      <w:isLgl w:val="false"/>
      <w:suff w:val="tab"/>
      <w:lvlText w:val="%1.%2.%3"/>
      <w:lvlJc w:val="left"/>
      <w:pPr>
        <w:ind w:left="1380" w:hanging="840"/>
        <w:tabs>
          <w:tab w:val="num" w:pos="13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650" w:hanging="840"/>
        <w:tabs>
          <w:tab w:val="num" w:pos="165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430" w:hanging="1080"/>
        <w:tabs>
          <w:tab w:val="num" w:pos="243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330" w:hanging="1440"/>
        <w:tabs>
          <w:tab w:val="num" w:pos="333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2">
    <w:multiLevelType w:val="hybridMultilevel"/>
    <w:lvl w:ilvl="0">
      <w:start w:val="9"/>
      <w:numFmt w:val="decimalZero"/>
      <w:isLgl w:val="false"/>
      <w:suff w:val="tab"/>
      <w:lvlText w:val="%1"/>
      <w:lvlJc w:val="left"/>
      <w:pPr>
        <w:ind w:left="930" w:hanging="930"/>
        <w:tabs>
          <w:tab w:val="num" w:pos="930" w:leader="none"/>
        </w:tabs>
      </w:pPr>
      <w:rPr>
        <w:rFonts w:hint="default"/>
      </w:rPr>
    </w:lvl>
    <w:lvl w:ilvl="1">
      <w:start w:val="9"/>
      <w:numFmt w:val="decimalZero"/>
      <w:isLgl w:val="false"/>
      <w:suff w:val="tab"/>
      <w:lvlText w:val="%1.%2"/>
      <w:lvlJc w:val="left"/>
      <w:pPr>
        <w:ind w:left="1638" w:hanging="930"/>
        <w:tabs>
          <w:tab w:val="num" w:pos="1638" w:leader="none"/>
        </w:tabs>
      </w:pPr>
      <w:rPr>
        <w:rFonts w:hint="default"/>
      </w:rPr>
    </w:lvl>
    <w:lvl w:ilvl="2">
      <w:start w:val="3"/>
      <w:numFmt w:val="decimalZero"/>
      <w:isLgl w:val="false"/>
      <w:suff w:val="tab"/>
      <w:lvlText w:val="%1.%2.%3"/>
      <w:lvlJc w:val="left"/>
      <w:pPr>
        <w:ind w:left="2346" w:hanging="930"/>
        <w:tabs>
          <w:tab w:val="num" w:pos="2346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054" w:hanging="930"/>
        <w:tabs>
          <w:tab w:val="num" w:pos="3054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2" w:hanging="1080"/>
        <w:tabs>
          <w:tab w:val="num" w:pos="3912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0" w:hanging="1440"/>
        <w:tabs>
          <w:tab w:val="num" w:pos="49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88" w:hanging="1440"/>
        <w:tabs>
          <w:tab w:val="num" w:pos="5688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56" w:hanging="1800"/>
        <w:tabs>
          <w:tab w:val="num" w:pos="6756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64" w:hanging="1800"/>
        <w:tabs>
          <w:tab w:val="num" w:pos="7464" w:leader="none"/>
        </w:tabs>
      </w:pPr>
      <w:rPr>
        <w:rFonts w:hint="default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2869" w:hanging="108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9">
    <w:multiLevelType w:val="hybridMultilevel"/>
    <w:lvl w:ilvl="0">
      <w:start w:val="4"/>
      <w:numFmt w:val="decimalZero"/>
      <w:isLgl w:val="false"/>
      <w:suff w:val="tab"/>
      <w:lvlText w:val="%1"/>
      <w:lvlJc w:val="left"/>
      <w:pPr>
        <w:ind w:left="8130" w:hanging="8130"/>
        <w:tabs>
          <w:tab w:val="num" w:pos="8130" w:leader="none"/>
        </w:tabs>
      </w:pPr>
      <w:rPr>
        <w:rFonts w:hint="default"/>
      </w:rPr>
    </w:lvl>
    <w:lvl w:ilvl="1">
      <w:start w:val="8"/>
      <w:numFmt w:val="decimalZero"/>
      <w:isLgl w:val="false"/>
      <w:suff w:val="tab"/>
      <w:lvlText w:val="%1.%2"/>
      <w:lvlJc w:val="left"/>
      <w:pPr>
        <w:ind w:left="8310" w:hanging="8130"/>
        <w:tabs>
          <w:tab w:val="num" w:pos="8310" w:leader="none"/>
        </w:tabs>
      </w:pPr>
      <w:rPr>
        <w:rFonts w:hint="default"/>
      </w:rPr>
    </w:lvl>
    <w:lvl w:ilvl="2">
      <w:start w:val="3"/>
      <w:numFmt w:val="decimalZero"/>
      <w:isLgl w:val="false"/>
      <w:suff w:val="tab"/>
      <w:lvlText w:val="%1.%2.%3"/>
      <w:lvlJc w:val="left"/>
      <w:pPr>
        <w:ind w:left="8490" w:hanging="8130"/>
        <w:tabs>
          <w:tab w:val="num" w:pos="849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8670" w:hanging="8130"/>
        <w:tabs>
          <w:tab w:val="num" w:pos="867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8850" w:hanging="8130"/>
        <w:tabs>
          <w:tab w:val="num" w:pos="885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030" w:hanging="8130"/>
        <w:tabs>
          <w:tab w:val="num" w:pos="903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9210" w:hanging="8130"/>
        <w:tabs>
          <w:tab w:val="num" w:pos="921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90" w:hanging="8130"/>
        <w:tabs>
          <w:tab w:val="num" w:pos="93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570" w:hanging="8130"/>
        <w:tabs>
          <w:tab w:val="num" w:pos="9570" w:leader="none"/>
        </w:tabs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33"/>
  </w:num>
  <w:num w:numId="2">
    <w:abstractNumId w:val="15"/>
  </w:num>
  <w:num w:numId="3">
    <w:abstractNumId w:val="1"/>
  </w:num>
  <w:num w:numId="4">
    <w:abstractNumId w:val="23"/>
  </w:num>
  <w:num w:numId="5">
    <w:abstractNumId w:val="4"/>
  </w:num>
  <w:num w:numId="6">
    <w:abstractNumId w:val="19"/>
  </w:num>
  <w:num w:numId="7">
    <w:abstractNumId w:val="39"/>
  </w:num>
  <w:num w:numId="8">
    <w:abstractNumId w:val="30"/>
  </w:num>
  <w:num w:numId="9">
    <w:abstractNumId w:val="26"/>
  </w:num>
  <w:num w:numId="10">
    <w:abstractNumId w:val="29"/>
  </w:num>
  <w:num w:numId="11">
    <w:abstractNumId w:val="2"/>
  </w:num>
  <w:num w:numId="12">
    <w:abstractNumId w:val="3"/>
  </w:num>
  <w:num w:numId="13">
    <w:abstractNumId w:val="32"/>
  </w:num>
  <w:num w:numId="14">
    <w:abstractNumId w:val="9"/>
  </w:num>
  <w:num w:numId="15">
    <w:abstractNumId w:val="40"/>
  </w:num>
  <w:num w:numId="16">
    <w:abstractNumId w:val="10"/>
  </w:num>
  <w:num w:numId="17">
    <w:abstractNumId w:val="24"/>
  </w:num>
  <w:num w:numId="18">
    <w:abstractNumId w:val="21"/>
  </w:num>
  <w:num w:numId="19">
    <w:abstractNumId w:val="12"/>
  </w:num>
  <w:num w:numId="20">
    <w:abstractNumId w:val="5"/>
  </w:num>
  <w:num w:numId="21">
    <w:abstractNumId w:val="11"/>
  </w:num>
  <w:num w:numId="22">
    <w:abstractNumId w:val="8"/>
  </w:num>
  <w:num w:numId="23">
    <w:abstractNumId w:val="13"/>
  </w:num>
  <w:num w:numId="24">
    <w:abstractNumId w:val="37"/>
    <w:lvlOverride w:ilvl="0">
      <w:startOverride w:val="1"/>
    </w:lvlOverride>
  </w:num>
  <w:num w:numId="25">
    <w:abstractNumId w:val="36"/>
  </w:num>
  <w:num w:numId="26">
    <w:abstractNumId w:val="20"/>
  </w:num>
  <w:num w:numId="27">
    <w:abstractNumId w:val="7"/>
  </w:num>
  <w:num w:numId="28">
    <w:abstractNumId w:val="6"/>
  </w:num>
  <w:num w:numId="29">
    <w:abstractNumId w:val="0"/>
  </w:num>
  <w:num w:numId="30">
    <w:abstractNumId w:val="28"/>
  </w:num>
  <w:num w:numId="31">
    <w:abstractNumId w:val="27"/>
  </w:num>
  <w:num w:numId="32">
    <w:abstractNumId w:val="18"/>
  </w:num>
  <w:num w:numId="33">
    <w:abstractNumId w:val="14"/>
  </w:num>
  <w:num w:numId="34">
    <w:abstractNumId w:val="34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35"/>
  </w:num>
  <w:num w:numId="38">
    <w:abstractNumId w:val="17"/>
  </w:num>
  <w:num w:numId="39">
    <w:abstractNumId w:val="38"/>
  </w:num>
  <w:num w:numId="40">
    <w:abstractNumId w:val="31"/>
  </w:num>
  <w:num w:numId="41">
    <w:abstractNumId w:val="2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488"/>
    <w:link w:val="483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488"/>
    <w:link w:val="484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488"/>
    <w:link w:val="485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488"/>
    <w:link w:val="486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488"/>
    <w:link w:val="487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482"/>
    <w:next w:val="482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488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82"/>
    <w:next w:val="482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88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82"/>
    <w:next w:val="482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88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82"/>
    <w:next w:val="482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88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482"/>
    <w:next w:val="482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88"/>
    <w:link w:val="32"/>
    <w:uiPriority w:val="10"/>
    <w:rPr>
      <w:sz w:val="48"/>
      <w:szCs w:val="48"/>
    </w:rPr>
  </w:style>
  <w:style w:type="paragraph" w:styleId="34">
    <w:name w:val="Subtitle"/>
    <w:basedOn w:val="482"/>
    <w:next w:val="482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88"/>
    <w:link w:val="34"/>
    <w:uiPriority w:val="11"/>
    <w:rPr>
      <w:sz w:val="24"/>
      <w:szCs w:val="24"/>
    </w:rPr>
  </w:style>
  <w:style w:type="paragraph" w:styleId="36">
    <w:name w:val="Quote"/>
    <w:basedOn w:val="482"/>
    <w:next w:val="482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82"/>
    <w:next w:val="482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488"/>
    <w:link w:val="498"/>
    <w:uiPriority w:val="99"/>
  </w:style>
  <w:style w:type="character" w:styleId="43">
    <w:name w:val="Footer Char"/>
    <w:basedOn w:val="488"/>
    <w:link w:val="500"/>
    <w:uiPriority w:val="99"/>
  </w:style>
  <w:style w:type="character" w:styleId="45">
    <w:name w:val="Caption Char"/>
    <w:basedOn w:val="503"/>
    <w:link w:val="500"/>
    <w:uiPriority w:val="99"/>
  </w:style>
  <w:style w:type="table" w:styleId="47">
    <w:name w:val="Table Grid Light"/>
    <w:basedOn w:val="48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8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8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8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8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8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8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8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8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8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48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8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4">
    <w:name w:val="Footnote Text Char"/>
    <w:link w:val="530"/>
    <w:uiPriority w:val="99"/>
    <w:rPr>
      <w:sz w:val="18"/>
    </w:rPr>
  </w:style>
  <w:style w:type="paragraph" w:styleId="176">
    <w:name w:val="toc 1"/>
    <w:basedOn w:val="482"/>
    <w:next w:val="482"/>
    <w:uiPriority w:val="39"/>
    <w:unhideWhenUsed/>
    <w:pPr>
      <w:ind w:left="0" w:right="0" w:firstLine="0"/>
      <w:spacing w:after="57"/>
    </w:pPr>
  </w:style>
  <w:style w:type="paragraph" w:styleId="177">
    <w:name w:val="toc 2"/>
    <w:basedOn w:val="482"/>
    <w:next w:val="482"/>
    <w:uiPriority w:val="39"/>
    <w:unhideWhenUsed/>
    <w:pPr>
      <w:ind w:left="283" w:right="0" w:firstLine="0"/>
      <w:spacing w:after="57"/>
    </w:pPr>
  </w:style>
  <w:style w:type="paragraph" w:styleId="178">
    <w:name w:val="toc 3"/>
    <w:basedOn w:val="482"/>
    <w:next w:val="482"/>
    <w:uiPriority w:val="39"/>
    <w:unhideWhenUsed/>
    <w:pPr>
      <w:ind w:left="567" w:right="0" w:firstLine="0"/>
      <w:spacing w:after="57"/>
    </w:pPr>
  </w:style>
  <w:style w:type="paragraph" w:styleId="179">
    <w:name w:val="toc 4"/>
    <w:basedOn w:val="482"/>
    <w:next w:val="482"/>
    <w:uiPriority w:val="39"/>
    <w:unhideWhenUsed/>
    <w:pPr>
      <w:ind w:left="850" w:right="0" w:firstLine="0"/>
      <w:spacing w:after="57"/>
    </w:pPr>
  </w:style>
  <w:style w:type="paragraph" w:styleId="180">
    <w:name w:val="toc 5"/>
    <w:basedOn w:val="482"/>
    <w:next w:val="482"/>
    <w:uiPriority w:val="39"/>
    <w:unhideWhenUsed/>
    <w:pPr>
      <w:ind w:left="1134" w:right="0" w:firstLine="0"/>
      <w:spacing w:after="57"/>
    </w:pPr>
  </w:style>
  <w:style w:type="paragraph" w:styleId="181">
    <w:name w:val="toc 6"/>
    <w:basedOn w:val="482"/>
    <w:next w:val="482"/>
    <w:uiPriority w:val="39"/>
    <w:unhideWhenUsed/>
    <w:pPr>
      <w:ind w:left="1417" w:right="0" w:firstLine="0"/>
      <w:spacing w:after="57"/>
    </w:pPr>
  </w:style>
  <w:style w:type="paragraph" w:styleId="182">
    <w:name w:val="toc 7"/>
    <w:basedOn w:val="482"/>
    <w:next w:val="482"/>
    <w:uiPriority w:val="39"/>
    <w:unhideWhenUsed/>
    <w:pPr>
      <w:ind w:left="1701" w:right="0" w:firstLine="0"/>
      <w:spacing w:after="57"/>
    </w:pPr>
  </w:style>
  <w:style w:type="paragraph" w:styleId="183">
    <w:name w:val="toc 8"/>
    <w:basedOn w:val="482"/>
    <w:next w:val="482"/>
    <w:uiPriority w:val="39"/>
    <w:unhideWhenUsed/>
    <w:pPr>
      <w:ind w:left="1984" w:right="0" w:firstLine="0"/>
      <w:spacing w:after="57"/>
    </w:pPr>
  </w:style>
  <w:style w:type="paragraph" w:styleId="184">
    <w:name w:val="toc 9"/>
    <w:basedOn w:val="482"/>
    <w:next w:val="482"/>
    <w:uiPriority w:val="39"/>
    <w:unhideWhenUsed/>
    <w:pPr>
      <w:ind w:left="2268" w:right="0" w:firstLine="0"/>
      <w:spacing w:after="57"/>
    </w:pPr>
  </w:style>
  <w:style w:type="paragraph" w:styleId="185">
    <w:name w:val="TOC Heading"/>
    <w:uiPriority w:val="39"/>
    <w:unhideWhenUsed/>
  </w:style>
  <w:style w:type="paragraph" w:styleId="482" w:default="1">
    <w:name w:val="Normal"/>
    <w:qFormat/>
    <w:rPr>
      <w:rFonts w:ascii="Times New Roman" w:hAnsi="Times New Roman" w:cs="Times New Roman" w:eastAsia="Times New Roman"/>
      <w:sz w:val="26"/>
      <w:szCs w:val="20"/>
      <w:lang w:eastAsia="ru-RU"/>
    </w:rPr>
    <w:pPr>
      <w:ind w:firstLine="709"/>
      <w:spacing w:lineRule="auto" w:line="240" w:after="0"/>
    </w:pPr>
  </w:style>
  <w:style w:type="paragraph" w:styleId="483">
    <w:name w:val="Heading 1"/>
    <w:basedOn w:val="482"/>
    <w:next w:val="482"/>
    <w:link w:val="491"/>
    <w:qFormat/>
    <w:rPr>
      <w:b/>
      <w:bCs/>
      <w:sz w:val="24"/>
      <w:szCs w:val="16"/>
    </w:rPr>
    <w:pPr>
      <w:ind w:left="360" w:firstLine="0"/>
      <w:keepNext/>
      <w:tabs>
        <w:tab w:val="left" w:pos="6804" w:leader="none"/>
      </w:tabs>
      <w:outlineLvl w:val="0"/>
    </w:pPr>
  </w:style>
  <w:style w:type="paragraph" w:styleId="484">
    <w:name w:val="Heading 2"/>
    <w:basedOn w:val="482"/>
    <w:next w:val="482"/>
    <w:link w:val="492"/>
    <w:qFormat/>
    <w:rPr>
      <w:b/>
      <w:bCs/>
      <w:sz w:val="24"/>
      <w:szCs w:val="16"/>
    </w:rPr>
    <w:pPr>
      <w:jc w:val="right"/>
      <w:keepNext/>
      <w:tabs>
        <w:tab w:val="left" w:pos="6804" w:leader="none"/>
      </w:tabs>
      <w:outlineLvl w:val="1"/>
    </w:pPr>
  </w:style>
  <w:style w:type="paragraph" w:styleId="485">
    <w:name w:val="Heading 3"/>
    <w:basedOn w:val="482"/>
    <w:next w:val="482"/>
    <w:link w:val="493"/>
    <w:qFormat/>
    <w:rPr>
      <w:b/>
      <w:bCs/>
      <w:sz w:val="24"/>
      <w:szCs w:val="16"/>
    </w:rPr>
    <w:pPr>
      <w:keepNext/>
      <w:tabs>
        <w:tab w:val="left" w:pos="6804" w:leader="none"/>
      </w:tabs>
      <w:outlineLvl w:val="2"/>
    </w:pPr>
  </w:style>
  <w:style w:type="paragraph" w:styleId="486">
    <w:name w:val="Heading 4"/>
    <w:basedOn w:val="482"/>
    <w:next w:val="482"/>
    <w:link w:val="494"/>
    <w:qFormat/>
    <w:rPr>
      <w:b/>
      <w:bCs/>
      <w:sz w:val="24"/>
      <w:szCs w:val="16"/>
    </w:rPr>
    <w:pPr>
      <w:jc w:val="center"/>
      <w:keepNext/>
      <w:tabs>
        <w:tab w:val="left" w:pos="6804" w:leader="none"/>
      </w:tabs>
      <w:outlineLvl w:val="3"/>
    </w:pPr>
  </w:style>
  <w:style w:type="paragraph" w:styleId="487">
    <w:name w:val="Heading 5"/>
    <w:basedOn w:val="482"/>
    <w:next w:val="482"/>
    <w:link w:val="495"/>
    <w:qFormat/>
    <w:rPr>
      <w:b/>
      <w:bCs/>
      <w:sz w:val="24"/>
      <w:szCs w:val="16"/>
    </w:rPr>
    <w:pPr>
      <w:ind w:firstLine="0"/>
      <w:keepNext/>
      <w:tabs>
        <w:tab w:val="left" w:pos="6804" w:leader="none"/>
      </w:tabs>
      <w:outlineLvl w:val="4"/>
    </w:pPr>
  </w:style>
  <w:style w:type="character" w:styleId="488" w:default="1">
    <w:name w:val="Default Paragraph Font"/>
    <w:uiPriority w:val="1"/>
    <w:semiHidden/>
    <w:unhideWhenUsed/>
  </w:style>
  <w:style w:type="table" w:styleId="489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90" w:default="1">
    <w:name w:val="No List"/>
    <w:uiPriority w:val="99"/>
    <w:semiHidden/>
    <w:unhideWhenUsed/>
  </w:style>
  <w:style w:type="character" w:styleId="491" w:customStyle="1">
    <w:name w:val="Заголовок 1 Знак"/>
    <w:basedOn w:val="488"/>
    <w:link w:val="483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92" w:customStyle="1">
    <w:name w:val="Заголовок 2 Знак"/>
    <w:basedOn w:val="488"/>
    <w:link w:val="484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93" w:customStyle="1">
    <w:name w:val="Заголовок 3 Знак"/>
    <w:basedOn w:val="488"/>
    <w:link w:val="485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94" w:customStyle="1">
    <w:name w:val="Заголовок 4 Знак"/>
    <w:basedOn w:val="488"/>
    <w:link w:val="486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95" w:customStyle="1">
    <w:name w:val="Заголовок 5 Знак"/>
    <w:basedOn w:val="488"/>
    <w:link w:val="487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paragraph" w:styleId="496">
    <w:name w:val="Body Text"/>
    <w:basedOn w:val="482"/>
    <w:next w:val="482"/>
    <w:link w:val="497"/>
    <w:rPr>
      <w:sz w:val="22"/>
    </w:rPr>
    <w:pPr>
      <w:ind w:firstLine="0"/>
      <w:jc w:val="both"/>
    </w:pPr>
  </w:style>
  <w:style w:type="character" w:styleId="497" w:customStyle="1">
    <w:name w:val="Основной текст Знак"/>
    <w:basedOn w:val="488"/>
    <w:link w:val="496"/>
    <w:rPr>
      <w:rFonts w:ascii="Times New Roman" w:hAnsi="Times New Roman" w:cs="Times New Roman" w:eastAsia="Times New Roman"/>
      <w:szCs w:val="20"/>
      <w:lang w:eastAsia="ru-RU"/>
    </w:rPr>
  </w:style>
  <w:style w:type="paragraph" w:styleId="498">
    <w:name w:val="Header"/>
    <w:basedOn w:val="482"/>
    <w:link w:val="4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499" w:customStyle="1">
    <w:name w:val="Верхний колонтитул Знак"/>
    <w:basedOn w:val="488"/>
    <w:link w:val="498"/>
    <w:uiPriority w:val="99"/>
    <w:rPr>
      <w:rFonts w:ascii="Times New Roman" w:hAnsi="Times New Roman" w:cs="Times New Roman" w:eastAsia="Times New Roman"/>
      <w:b/>
      <w:caps/>
      <w:sz w:val="28"/>
      <w:szCs w:val="20"/>
      <w:lang w:eastAsia="ru-RU"/>
    </w:rPr>
  </w:style>
  <w:style w:type="paragraph" w:styleId="500">
    <w:name w:val="Footer"/>
    <w:basedOn w:val="482"/>
    <w:link w:val="501"/>
    <w:uiPriority w:val="99"/>
    <w:pPr>
      <w:tabs>
        <w:tab w:val="center" w:pos="4153" w:leader="none"/>
        <w:tab w:val="right" w:pos="8306" w:leader="none"/>
      </w:tabs>
    </w:pPr>
  </w:style>
  <w:style w:type="character" w:styleId="501" w:customStyle="1">
    <w:name w:val="Нижний колонтитул Знак"/>
    <w:basedOn w:val="488"/>
    <w:link w:val="500"/>
    <w:uiPriority w:val="99"/>
    <w:rPr>
      <w:rFonts w:ascii="Times New Roman" w:hAnsi="Times New Roman" w:cs="Times New Roman" w:eastAsia="Times New Roman"/>
      <w:sz w:val="26"/>
      <w:szCs w:val="20"/>
      <w:lang w:eastAsia="ru-RU"/>
    </w:rPr>
  </w:style>
  <w:style w:type="character" w:styleId="502">
    <w:name w:val="page number"/>
    <w:basedOn w:val="488"/>
  </w:style>
  <w:style w:type="paragraph" w:styleId="503">
    <w:name w:val="Caption"/>
    <w:basedOn w:val="482"/>
    <w:next w:val="482"/>
    <w:qFormat/>
    <w:rPr>
      <w:b/>
      <w:sz w:val="28"/>
    </w:rPr>
    <w:pPr>
      <w:jc w:val="center"/>
    </w:pPr>
  </w:style>
  <w:style w:type="paragraph" w:styleId="504">
    <w:name w:val="Body Text Indent 2"/>
    <w:basedOn w:val="482"/>
    <w:link w:val="505"/>
    <w:pPr>
      <w:jc w:val="both"/>
    </w:pPr>
  </w:style>
  <w:style w:type="character" w:styleId="505" w:customStyle="1">
    <w:name w:val="Основной текст с отступом 2 Знак"/>
    <w:basedOn w:val="488"/>
    <w:link w:val="504"/>
    <w:rPr>
      <w:rFonts w:ascii="Times New Roman" w:hAnsi="Times New Roman" w:cs="Times New Roman" w:eastAsia="Times New Roman"/>
      <w:sz w:val="26"/>
      <w:szCs w:val="20"/>
      <w:lang w:eastAsia="ru-RU"/>
    </w:rPr>
  </w:style>
  <w:style w:type="paragraph" w:styleId="506" w:customStyle="1">
    <w:name w:val="Обращение"/>
    <w:basedOn w:val="482"/>
    <w:next w:val="482"/>
    <w:rPr>
      <w:b/>
    </w:rPr>
    <w:pPr>
      <w:ind w:firstLine="0"/>
      <w:jc w:val="center"/>
      <w:spacing w:after="120" w:before="240"/>
    </w:pPr>
  </w:style>
  <w:style w:type="paragraph" w:styleId="507" w:customStyle="1">
    <w:name w:val="Адресные реквизиты"/>
    <w:basedOn w:val="496"/>
    <w:next w:val="496"/>
    <w:rPr>
      <w:sz w:val="16"/>
    </w:rPr>
    <w:pPr>
      <w:jc w:val="left"/>
    </w:pPr>
  </w:style>
  <w:style w:type="paragraph" w:styleId="508" w:customStyle="1">
    <w:name w:val="Адресат"/>
    <w:basedOn w:val="482"/>
    <w:rPr>
      <w:b/>
    </w:rPr>
    <w:pPr>
      <w:ind w:firstLine="0"/>
      <w:spacing w:before="120"/>
    </w:pPr>
  </w:style>
  <w:style w:type="paragraph" w:styleId="509">
    <w:name w:val="Body Text Indent 3"/>
    <w:basedOn w:val="482"/>
    <w:link w:val="510"/>
    <w:rPr>
      <w:sz w:val="28"/>
    </w:rPr>
    <w:pPr>
      <w:jc w:val="both"/>
    </w:pPr>
  </w:style>
  <w:style w:type="character" w:styleId="510" w:customStyle="1">
    <w:name w:val="Основной текст с отступом 3 Знак"/>
    <w:basedOn w:val="488"/>
    <w:link w:val="509"/>
    <w:rPr>
      <w:rFonts w:ascii="Times New Roman" w:hAnsi="Times New Roman" w:cs="Times New Roman" w:eastAsia="Times New Roman"/>
      <w:sz w:val="28"/>
      <w:szCs w:val="20"/>
      <w:lang w:eastAsia="ru-RU"/>
    </w:rPr>
  </w:style>
  <w:style w:type="paragraph" w:styleId="511">
    <w:name w:val="Body Text Indent"/>
    <w:basedOn w:val="482"/>
    <w:link w:val="512"/>
    <w:rPr>
      <w:sz w:val="24"/>
    </w:rPr>
    <w:pPr>
      <w:jc w:val="both"/>
    </w:pPr>
  </w:style>
  <w:style w:type="character" w:styleId="512" w:customStyle="1">
    <w:name w:val="Основной текст с отступом Знак"/>
    <w:basedOn w:val="488"/>
    <w:link w:val="511"/>
    <w:rPr>
      <w:rFonts w:ascii="Times New Roman" w:hAnsi="Times New Roman" w:cs="Times New Roman" w:eastAsia="Times New Roman"/>
      <w:sz w:val="24"/>
      <w:szCs w:val="20"/>
      <w:lang w:eastAsia="ru-RU"/>
    </w:rPr>
  </w:style>
  <w:style w:type="paragraph" w:styleId="513">
    <w:name w:val="Body Text 2"/>
    <w:basedOn w:val="482"/>
    <w:link w:val="514"/>
    <w:pPr>
      <w:ind w:firstLine="0"/>
    </w:pPr>
  </w:style>
  <w:style w:type="character" w:styleId="514" w:customStyle="1">
    <w:name w:val="Основной текст 2 Знак"/>
    <w:basedOn w:val="488"/>
    <w:link w:val="513"/>
    <w:rPr>
      <w:rFonts w:ascii="Times New Roman" w:hAnsi="Times New Roman" w:cs="Times New Roman" w:eastAsia="Times New Roman"/>
      <w:sz w:val="26"/>
      <w:szCs w:val="20"/>
      <w:lang w:eastAsia="ru-RU"/>
    </w:rPr>
  </w:style>
  <w:style w:type="table" w:styleId="515">
    <w:name w:val="Table Grid"/>
    <w:basedOn w:val="489"/>
    <w:uiPriority w:val="59"/>
    <w:rPr>
      <w:rFonts w:ascii="Times New Roman" w:hAnsi="Times New Roman" w:cs="Times New Roman" w:eastAsia="Times New Roman"/>
      <w:sz w:val="20"/>
      <w:szCs w:val="20"/>
      <w:lang w:eastAsia="ru-RU"/>
    </w:rPr>
    <w:pPr>
      <w:ind w:firstLine="709"/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516" w:customStyle="1">
    <w:name w:val="Должность"/>
    <w:basedOn w:val="482"/>
    <w:next w:val="482"/>
    <w:rPr>
      <w:i/>
      <w:color w:val="000000"/>
      <w:sz w:val="24"/>
    </w:rPr>
    <w:pPr>
      <w:ind w:firstLine="0"/>
    </w:pPr>
  </w:style>
  <w:style w:type="paragraph" w:styleId="517">
    <w:name w:val="Balloon Text"/>
    <w:basedOn w:val="482"/>
    <w:link w:val="518"/>
    <w:uiPriority w:val="99"/>
    <w:semiHidden/>
    <w:rPr>
      <w:rFonts w:ascii="Tahoma" w:hAnsi="Tahoma" w:cs="Tahoma"/>
      <w:sz w:val="16"/>
      <w:szCs w:val="16"/>
    </w:rPr>
  </w:style>
  <w:style w:type="character" w:styleId="518" w:customStyle="1">
    <w:name w:val="Текст выноски Знак"/>
    <w:basedOn w:val="488"/>
    <w:link w:val="517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519">
    <w:name w:val="List Paragraph"/>
    <w:basedOn w:val="482"/>
    <w:qFormat/>
    <w:uiPriority w:val="34"/>
    <w:rPr>
      <w:rFonts w:ascii="Calibri" w:hAnsi="Calibri"/>
      <w:sz w:val="22"/>
      <w:szCs w:val="22"/>
    </w:rPr>
    <w:pPr>
      <w:contextualSpacing w:val="true"/>
      <w:ind w:left="720" w:firstLine="0"/>
      <w:spacing w:lineRule="auto" w:line="276" w:after="200"/>
    </w:pPr>
  </w:style>
  <w:style w:type="character" w:styleId="520" w:customStyle="1">
    <w:name w:val="apple-converted-space"/>
    <w:rPr>
      <w:rFonts w:cs="Times New Roman"/>
    </w:rPr>
  </w:style>
  <w:style w:type="paragraph" w:styleId="521" w:customStyle="1">
    <w:name w:val="ConsPlusTitle"/>
    <w:uiPriority w:val="99"/>
    <w:rPr>
      <w:rFonts w:ascii="Arial" w:hAnsi="Arial" w:cs="Arial" w:eastAsia="Times New Roman"/>
      <w:b/>
      <w:bCs/>
      <w:sz w:val="20"/>
      <w:szCs w:val="20"/>
      <w:lang w:eastAsia="ru-RU"/>
    </w:rPr>
    <w:pPr>
      <w:spacing w:lineRule="auto" w:line="240" w:after="0"/>
      <w:widowControl w:val="off"/>
    </w:pPr>
  </w:style>
  <w:style w:type="paragraph" w:styleId="522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spacing w:lineRule="auto" w:line="240" w:after="0"/>
      <w:widowControl w:val="off"/>
    </w:pPr>
  </w:style>
  <w:style w:type="character" w:styleId="523">
    <w:name w:val="Hyperlink"/>
    <w:basedOn w:val="488"/>
    <w:uiPriority w:val="99"/>
    <w:unhideWhenUsed/>
    <w:rPr>
      <w:color w:val="0000FF"/>
      <w:u w:val="single"/>
    </w:rPr>
  </w:style>
  <w:style w:type="character" w:styleId="524">
    <w:name w:val="FollowedHyperlink"/>
    <w:basedOn w:val="488"/>
    <w:rPr>
      <w:color w:val="800080"/>
      <w:u w:val="single"/>
    </w:rPr>
  </w:style>
  <w:style w:type="paragraph" w:styleId="525" w:customStyle="1">
    <w:name w:val="ConsPlusCell"/>
    <w:uiPriority w:val="99"/>
    <w:rPr>
      <w:rFonts w:ascii="Arial" w:hAnsi="Arial" w:cs="Arial" w:eastAsia="Times New Roman"/>
      <w:sz w:val="20"/>
      <w:szCs w:val="20"/>
      <w:lang w:eastAsia="ru-RU"/>
    </w:rPr>
    <w:pPr>
      <w:spacing w:lineRule="auto" w:line="240" w:after="0"/>
      <w:widowControl w:val="off"/>
    </w:pPr>
  </w:style>
  <w:style w:type="paragraph" w:styleId="526" w:customStyle="1">
    <w:name w:val="Обычный1"/>
    <w:rPr>
      <w:rFonts w:ascii="Times New Roman" w:hAnsi="Times New Roman" w:cs="Times New Roman" w:eastAsia="Times New Roman"/>
      <w:szCs w:val="20"/>
      <w:lang w:eastAsia="ru-RU"/>
    </w:rPr>
    <w:pPr>
      <w:spacing w:lineRule="auto" w:line="240" w:after="0"/>
    </w:pPr>
  </w:style>
  <w:style w:type="character" w:styleId="527" w:customStyle="1">
    <w:name w:val="Гипертекстовая ссылка"/>
    <w:basedOn w:val="488"/>
    <w:uiPriority w:val="99"/>
    <w:rPr>
      <w:b/>
      <w:bCs/>
      <w:color w:val="106BBE"/>
    </w:rPr>
  </w:style>
  <w:style w:type="paragraph" w:styleId="528" w:customStyle="1">
    <w:name w:val="Нормальный (таблица)"/>
    <w:basedOn w:val="482"/>
    <w:next w:val="482"/>
    <w:uiPriority w:val="99"/>
    <w:rPr>
      <w:rFonts w:ascii="Arial" w:hAnsi="Arial" w:cs="Arial" w:eastAsia="Calibri"/>
      <w:sz w:val="24"/>
      <w:szCs w:val="24"/>
    </w:rPr>
    <w:pPr>
      <w:ind w:firstLine="0"/>
      <w:jc w:val="both"/>
      <w:widowControl w:val="off"/>
    </w:pPr>
  </w:style>
  <w:style w:type="paragraph" w:styleId="529" w:customStyle="1">
    <w:name w:val="Прижатый влево"/>
    <w:basedOn w:val="482"/>
    <w:next w:val="482"/>
    <w:uiPriority w:val="99"/>
    <w:rPr>
      <w:rFonts w:ascii="Arial" w:hAnsi="Arial" w:cs="Arial" w:eastAsia="Calibri"/>
      <w:sz w:val="24"/>
      <w:szCs w:val="24"/>
    </w:rPr>
    <w:pPr>
      <w:ind w:firstLine="0"/>
      <w:widowControl w:val="off"/>
    </w:pPr>
  </w:style>
  <w:style w:type="paragraph" w:styleId="530">
    <w:name w:val="footnote text"/>
    <w:basedOn w:val="482"/>
    <w:link w:val="531"/>
    <w:uiPriority w:val="99"/>
    <w:semiHidden/>
    <w:unhideWhenUsed/>
    <w:rPr>
      <w:sz w:val="20"/>
    </w:rPr>
  </w:style>
  <w:style w:type="character" w:styleId="531" w:customStyle="1">
    <w:name w:val="Текст сноски Знак"/>
    <w:basedOn w:val="488"/>
    <w:link w:val="530"/>
    <w:uiPriority w:val="99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character" w:styleId="532">
    <w:name w:val="footnote reference"/>
    <w:basedOn w:val="488"/>
    <w:uiPriority w:val="99"/>
    <w:semiHidden/>
    <w:unhideWhenUsed/>
    <w:rPr>
      <w:vertAlign w:val="superscri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image" Target="media/image2.jp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Р7-Офис/5.5.2.19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revision>4</cp:revision>
  <dcterms:created xsi:type="dcterms:W3CDTF">2021-03-01T04:46:00Z</dcterms:created>
  <dcterms:modified xsi:type="dcterms:W3CDTF">2021-03-03T07:27:01Z</dcterms:modified>
</cp:coreProperties>
</file>